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1620000" cy="575576"/>
            <wp:docPr id="1" name="Picture 1"/>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1620000" cy="575576"/>
                    </a:xfrm>
                    <a:prstGeom prst="rect"/>
                  </pic:spPr>
                </pic:pic>
              </a:graphicData>
            </a:graphic>
          </wp:inline>
        </w:drawing>
      </w:r>
    </w:p>
    <w:p/>
    <w:p>
      <w:pPr>
        <w:spacing w:after="40"/>
      </w:pPr>
      <w:r>
        <w:rPr>
          <w:rFonts w:ascii="Calibri" w:hAnsi="Calibri"/>
          <w:b/>
          <w:i w:val="0"/>
          <w:color w:val="A6192E"/>
          <w:sz w:val="52"/>
        </w:rPr>
        <w:t>Eugene Platform — Project Evaluation</w:t>
      </w:r>
    </w:p>
    <w:p>
      <w:r>
        <w:rPr>
          <w:rFonts w:ascii="Calibri" w:hAnsi="Calibri"/>
          <w:b w:val="0"/>
          <w:i w:val="0"/>
          <w:color w:val="1B3A6B"/>
          <w:sz w:val="28"/>
        </w:rPr>
        <w:t>A Component-by-Component Assessment of the CSL Behring Biomedical Knowledge Graph &amp; Agentic AI System</w:t>
      </w:r>
    </w:p>
    <w:p/>
    <w:p>
      <w:pPr>
        <w:spacing w:after="40"/>
      </w:pPr>
      <w:r>
        <w:rPr>
          <w:rFonts w:ascii="Calibri" w:hAnsi="Calibri"/>
          <w:b/>
          <w:i w:val="0"/>
          <w:color w:val="1B3A6B"/>
          <w:sz w:val="21"/>
        </w:rPr>
        <w:t xml:space="preserve">Prepared for: </w:t>
      </w:r>
      <w:r>
        <w:rPr>
          <w:rFonts w:ascii="Calibri" w:hAnsi="Calibri"/>
          <w:b w:val="0"/>
          <w:i w:val="0"/>
          <w:color w:val="000000"/>
          <w:sz w:val="21"/>
        </w:rPr>
        <w:t>CSL Behring — Business Development &amp; R&amp;D Stakeholders</w:t>
      </w:r>
    </w:p>
    <w:p>
      <w:pPr>
        <w:spacing w:after="40"/>
      </w:pPr>
      <w:r>
        <w:rPr>
          <w:rFonts w:ascii="Calibri" w:hAnsi="Calibri"/>
          <w:b/>
          <w:i w:val="0"/>
          <w:color w:val="1B3A6B"/>
          <w:sz w:val="21"/>
        </w:rPr>
        <w:t xml:space="preserve">Programme: </w:t>
      </w:r>
      <w:r>
        <w:rPr>
          <w:rFonts w:ascii="Calibri" w:hAnsi="Calibri"/>
          <w:b w:val="0"/>
          <w:i w:val="0"/>
          <w:color w:val="000000"/>
          <w:sz w:val="21"/>
        </w:rPr>
        <w:t>Eugene Knowledge Graph &amp; Agentic AI Platform</w:t>
      </w:r>
    </w:p>
    <w:p>
      <w:pPr>
        <w:spacing w:after="40"/>
      </w:pPr>
      <w:r>
        <w:rPr>
          <w:rFonts w:ascii="Calibri" w:hAnsi="Calibri"/>
          <w:b/>
          <w:i w:val="0"/>
          <w:color w:val="1B3A6B"/>
          <w:sz w:val="21"/>
        </w:rPr>
        <w:t xml:space="preserve">Date: </w:t>
      </w:r>
      <w:r>
        <w:rPr>
          <w:rFonts w:ascii="Calibri" w:hAnsi="Calibri"/>
          <w:b w:val="0"/>
          <w:i w:val="0"/>
          <w:color w:val="000000"/>
          <w:sz w:val="21"/>
        </w:rPr>
        <w:t>May 2, 2026</w:t>
      </w:r>
    </w:p>
    <w:p>
      <w:pPr>
        <w:spacing w:after="40"/>
      </w:pPr>
      <w:r>
        <w:rPr>
          <w:rFonts w:ascii="Calibri" w:hAnsi="Calibri"/>
          <w:b/>
          <w:i w:val="0"/>
          <w:color w:val="1B3A6B"/>
          <w:sz w:val="21"/>
        </w:rPr>
        <w:t xml:space="preserve">Classification: </w:t>
      </w:r>
      <w:r>
        <w:rPr>
          <w:rFonts w:ascii="Calibri" w:hAnsi="Calibri"/>
          <w:b w:val="0"/>
          <w:i w:val="0"/>
          <w:color w:val="000000"/>
          <w:sz w:val="21"/>
        </w:rPr>
        <w:t>Confidential — Internal Use Only</w:t>
      </w:r>
    </w:p>
    <w:p>
      <w:pPr>
        <w:spacing w:after="40"/>
      </w:pPr>
      <w:r>
        <w:rPr>
          <w:rFonts w:ascii="Calibri" w:hAnsi="Calibri"/>
          <w:b/>
          <w:i w:val="0"/>
          <w:color w:val="1B3A6B"/>
          <w:sz w:val="21"/>
        </w:rPr>
        <w:t xml:space="preserve">Version: </w:t>
      </w:r>
      <w:r>
        <w:rPr>
          <w:rFonts w:ascii="Calibri" w:hAnsi="Calibri"/>
          <w:b w:val="0"/>
          <w:i w:val="0"/>
          <w:color w:val="000000"/>
          <w:sz w:val="21"/>
        </w:rPr>
        <w:t>2.0  (Book Edition)</w:t>
      </w:r>
    </w:p>
    <w:p/>
    <w:p>
      <w:r>
        <w:rPr>
          <w:rFonts w:ascii="Calibri" w:hAnsi="Calibri"/>
          <w:b w:val="0"/>
          <w:i/>
          <w:color w:val="424242"/>
          <w:sz w:val="18"/>
        </w:rPr>
        <w:t>This document is a synthesised, book-format evaluation distilled from the Eugene Project Validation Document, the Stage 1 Assessment &amp; Audit Report, the Developer Guide, and the canonical architecture diagram.</w:t>
      </w:r>
    </w:p>
    <w:p>
      <w:r>
        <w:br w:type="page"/>
      </w:r>
    </w:p>
    <w:p>
      <w:pPr>
        <w:spacing w:before="280" w:after="160"/>
        <w:outlineLvl w:val="1"/>
      </w:pPr>
      <w:r>
        <w:rPr>
          <w:rFonts w:ascii="Calibri" w:hAnsi="Calibri"/>
          <w:b/>
          <w:i w:val="0"/>
          <w:color w:val="1B3A6B"/>
          <w:sz w:val="34"/>
        </w:rPr>
        <w:t>Table of Contents</w:t>
      </w:r>
    </w:p>
    <w:p>
      <w:r>
        <w:fldChar w:fldCharType="begin"/>
        <w:instrText xml:space="preserve">TOC \o "1-3" \h \z \u</w:instrText>
        <w:fldChar w:fldCharType="separate"/>
        <w:t>Right-click and choose 'Update Field' to populate the table of contents.</w:t>
        <w:fldChar w:fldCharType="end"/>
      </w:r>
    </w:p>
    <w:p>
      <w:r>
        <w:br w:type="page"/>
      </w:r>
    </w:p>
    <w:p>
      <w:r>
        <w:br w:type="page"/>
      </w:r>
    </w:p>
    <w:p>
      <w:pPr>
        <w:spacing w:before="360" w:after="240"/>
        <w:outlineLvl w:val="0"/>
      </w:pPr>
      <w:r>
        <w:rPr>
          <w:rFonts w:ascii="Calibri" w:hAnsi="Calibri"/>
          <w:b/>
          <w:i w:val="0"/>
          <w:color w:val="A6192E"/>
          <w:sz w:val="48"/>
        </w:rPr>
        <w:t>Front Matter</w:t>
      </w:r>
    </w:p>
    <w:p>
      <w:r>
        <w:br w:type="page"/>
      </w:r>
    </w:p>
    <w:p>
      <w:pPr>
        <w:spacing w:before="280" w:after="160"/>
        <w:outlineLvl w:val="1"/>
      </w:pPr>
      <w:r>
        <w:rPr>
          <w:rFonts w:ascii="Calibri" w:hAnsi="Calibri"/>
          <w:b/>
          <w:i w:val="0"/>
          <w:color w:val="1B3A6B"/>
          <w:sz w:val="34"/>
        </w:rPr>
        <w:t>Foreword</w:t>
      </w:r>
    </w:p>
    <w:p>
      <w:pPr>
        <w:spacing w:after="120"/>
        <w:jc w:val="both"/>
      </w:pPr>
      <w:r>
        <w:rPr>
          <w:rFonts w:ascii="Calibri" w:hAnsi="Calibri"/>
          <w:b w:val="0"/>
          <w:i w:val="0"/>
          <w:color w:val="000000"/>
          <w:sz w:val="21"/>
        </w:rPr>
        <w:t>This volume presents a complete, component-by-component evaluation of the Eugene biomedical knowledge graph and agentic AI platform commissioned by CSL Behring. The intent is twofold. First, to record — at a single source of truth — what has been built: the architecture, the services, the data, the deployment topology, the security posture, the operational practices. Second, to present an honest, systematic assessment of each constituent component, so that programme leadership and engineering teams alike can make informed decisions about what to harden, what to extend, and what to retire as Eugene transitions from first-generation proof of value to a strategic CSL asset.</w:t>
      </w:r>
    </w:p>
    <w:p>
      <w:pPr>
        <w:spacing w:after="120"/>
        <w:jc w:val="both"/>
      </w:pPr>
      <w:r>
        <w:rPr>
          <w:rFonts w:ascii="Calibri" w:hAnsi="Calibri"/>
          <w:b w:val="0"/>
          <w:i w:val="0"/>
          <w:color w:val="000000"/>
          <w:sz w:val="21"/>
        </w:rPr>
        <w:t>The material in these pages has been distilled from four primary sources: the Eugene Project Validation Document (v1.0, March 2026); the Eugene Stage 1 Assessment &amp; Audit Report (April 2026); the Eugene Developer Guide; and the canonical architecture diagram preserved in `docs/architecture/eugene-architecture.drawio`. Where individual claims rest on a specific source, the inline citation tags from those documents are preserved verbatim. Where the underlying material was thin, this volume defers to silence rather than speculation.</w:t>
      </w:r>
    </w:p>
    <w:p>
      <w:pPr>
        <w:spacing w:after="120"/>
        <w:jc w:val="both"/>
      </w:pPr>
      <w:r>
        <w:rPr>
          <w:rFonts w:ascii="Calibri" w:hAnsi="Calibri"/>
          <w:b w:val="0"/>
          <w:i w:val="0"/>
          <w:color w:val="000000"/>
          <w:sz w:val="21"/>
        </w:rPr>
        <w:t>The companion volume, *Eugene Platform — Technical Recommendations &amp; Next-Generation Architecture*, sets out remediation, the proposed multi-agent target architecture, and a programme of user-experience enhancements driven by the findings recorded here. The two documents are intended to be read together.</w:t>
      </w:r>
    </w:p>
    <w:p>
      <w:pPr>
        <w:spacing w:before="280" w:after="160"/>
        <w:outlineLvl w:val="1"/>
      </w:pPr>
      <w:r>
        <w:rPr>
          <w:rFonts w:ascii="Calibri" w:hAnsi="Calibri"/>
          <w:b/>
          <w:i w:val="0"/>
          <w:color w:val="1B3A6B"/>
          <w:sz w:val="34"/>
        </w:rPr>
        <w:t>How to Read This Document</w:t>
      </w:r>
    </w:p>
    <w:p>
      <w:pPr>
        <w:spacing w:after="120"/>
        <w:jc w:val="both"/>
      </w:pPr>
      <w:r>
        <w:rPr>
          <w:rFonts w:ascii="Calibri" w:hAnsi="Calibri"/>
          <w:b w:val="0"/>
          <w:i w:val="0"/>
          <w:color w:val="000000"/>
          <w:sz w:val="21"/>
        </w:rPr>
        <w:t>The volume is organised in six parts:</w:t>
      </w:r>
    </w:p>
    <w:p>
      <w:pPr>
        <w:pStyle w:val="ListBullet"/>
        <w:spacing w:after="40"/>
      </w:pPr>
      <w:r>
        <w:rPr>
          <w:rFonts w:ascii="Calibri" w:hAnsi="Calibri"/>
          <w:b w:val="0"/>
          <w:i w:val="0"/>
          <w:sz w:val="21"/>
        </w:rPr>
        <w:t>Part I — Mission, Stakeholders, and Business Context — establishes why Eugene exists, for whom, and against which decision-making workflows it is benchmarked.</w:t>
      </w:r>
    </w:p>
    <w:p>
      <w:pPr>
        <w:pStyle w:val="ListBullet"/>
        <w:spacing w:after="40"/>
      </w:pPr>
      <w:r>
        <w:rPr>
          <w:rFonts w:ascii="Calibri" w:hAnsi="Calibri"/>
          <w:b w:val="0"/>
          <w:i w:val="0"/>
          <w:sz w:val="21"/>
        </w:rPr>
        <w:t>Part II — System Architecture — surveys the platform at the topology level: tiers, services, ports, technologies, and the canonical request flow.</w:t>
      </w:r>
    </w:p>
    <w:p>
      <w:pPr>
        <w:pStyle w:val="ListBullet"/>
        <w:spacing w:after="40"/>
      </w:pPr>
      <w:r>
        <w:rPr>
          <w:rFonts w:ascii="Calibri" w:hAnsi="Calibri"/>
          <w:b w:val="0"/>
          <w:i w:val="0"/>
          <w:sz w:val="21"/>
        </w:rPr>
        <w:t>Part III — Component Deep-Dives — assesses each major service in turn, with sections for design, implementation, current state, evaluation, and component-specific findings.</w:t>
      </w:r>
    </w:p>
    <w:p>
      <w:pPr>
        <w:pStyle w:val="ListBullet"/>
        <w:spacing w:after="40"/>
      </w:pPr>
      <w:r>
        <w:rPr>
          <w:rFonts w:ascii="Calibri" w:hAnsi="Calibri"/>
          <w:b w:val="0"/>
          <w:i w:val="0"/>
          <w:sz w:val="21"/>
        </w:rPr>
        <w:t>Part IV — Cross-Cutting Concerns — addresses authentication, security, performance, code quality, observability, and operations as horizontal concerns.</w:t>
      </w:r>
    </w:p>
    <w:p>
      <w:pPr>
        <w:pStyle w:val="ListBullet"/>
        <w:spacing w:after="40"/>
      </w:pPr>
      <w:r>
        <w:rPr>
          <w:rFonts w:ascii="Calibri" w:hAnsi="Calibri"/>
          <w:b w:val="0"/>
          <w:i w:val="0"/>
          <w:sz w:val="21"/>
        </w:rPr>
        <w:t>Part V — Deployment and Environments — covers AWS topology, environment matrix, Terraform module structure, and local-development practice.</w:t>
      </w:r>
    </w:p>
    <w:p>
      <w:pPr>
        <w:pStyle w:val="ListBullet"/>
        <w:spacing w:after="40"/>
      </w:pPr>
      <w:r>
        <w:rPr>
          <w:rFonts w:ascii="Calibri" w:hAnsi="Calibri"/>
          <w:b w:val="0"/>
          <w:i w:val="0"/>
          <w:sz w:val="21"/>
        </w:rPr>
        <w:t>Part VI — Risk, Conclusion and Appendices — consolidates the documented risk register, draws programme-level conclusions, and provides reference appendices (API endpoint inventory, MCP tool inventory, and a glossary).</w:t>
      </w:r>
    </w:p>
    <w:p>
      <w:pPr>
        <w:spacing w:after="120"/>
        <w:jc w:val="both"/>
      </w:pPr>
      <w:r>
        <w:rPr>
          <w:rFonts w:ascii="Calibri" w:hAnsi="Calibri"/>
          <w:b w:val="0"/>
          <w:i w:val="0"/>
          <w:color w:val="000000"/>
          <w:sz w:val="21"/>
        </w:rPr>
        <w:t>Each component chapter follows a consistent shape: Purpose, Design, Implementation, Current State, Evaluation, and Findings. The Findings sub-section ties back to the 21 issues identified in the Stage 1 audit so that the link between observed behaviour and remediation work is explicit.</w:t>
      </w:r>
    </w:p>
    <w:p>
      <w:pPr>
        <w:spacing w:before="120" w:after="160"/>
        <w:ind w:left="283" w:right="283"/>
        <w:shd w:val="clear" w:color="auto" w:fill="FFF3E0"/>
      </w:pPr>
      <w:r>
        <w:rPr>
          <w:rFonts w:ascii="Calibri" w:hAnsi="Calibri"/>
          <w:b w:val="0"/>
          <w:i/>
          <w:color w:val="A6192E"/>
          <w:sz w:val="20"/>
        </w:rPr>
        <w:t>⚑  This document is confidential to CSL Behring. Reproduction or distribution outside CSL Behring requires programme-lead approval. Where individual usernames, credentials, or account identifiers appear, they are illustrative only; treat all such values as sensitive.</w:t>
      </w:r>
    </w:p>
    <w:p>
      <w:pPr>
        <w:spacing w:before="280" w:after="160"/>
        <w:outlineLvl w:val="1"/>
      </w:pPr>
      <w:r>
        <w:rPr>
          <w:rFonts w:ascii="Calibri" w:hAnsi="Calibri"/>
          <w:b/>
          <w:i w:val="0"/>
          <w:color w:val="1B3A6B"/>
          <w:sz w:val="34"/>
        </w:rPr>
        <w:t>Executive Summary</w:t>
      </w:r>
    </w:p>
    <w:p>
      <w:pPr>
        <w:spacing w:before="200" w:after="80"/>
        <w:outlineLvl w:val="2"/>
      </w:pPr>
      <w:r>
        <w:rPr>
          <w:rFonts w:ascii="Calibri" w:hAnsi="Calibri"/>
          <w:b/>
          <w:i w:val="0"/>
          <w:color w:val="2E6DA4"/>
          <w:sz w:val="26"/>
        </w:rPr>
        <w:t>What Eugene Is</w:t>
      </w:r>
    </w:p>
    <w:p>
      <w:pPr>
        <w:spacing w:after="120"/>
        <w:jc w:val="both"/>
      </w:pPr>
      <w:r>
        <w:rPr>
          <w:rFonts w:ascii="Calibri" w:hAnsi="Calibri"/>
          <w:b w:val="0"/>
          <w:i w:val="0"/>
          <w:color w:val="000000"/>
          <w:sz w:val="21"/>
        </w:rPr>
        <w:t>Eugene is an enterprise-grade, AI-powered biomedical knowledge graph platform purpose-built for CSL Behring's competitive intelligence and research analytics operations. It allows non-technical users to pose complex, multi-hop biomedical questions in plain English and to receive synthesised, evidence-backed answers in seconds. The underlying graph integrates authoritative public data — USPTO patents, PubMed literature, ClinicalTrials.gov records — with internal CSL data assets, delivering a single conversational surface across what was previously a fragmented set of databases and tools.</w:t>
      </w:r>
    </w:p>
    <w:p>
      <w:pPr>
        <w:spacing w:before="200" w:after="80"/>
        <w:outlineLvl w:val="2"/>
      </w:pPr>
      <w:r>
        <w:rPr>
          <w:rFonts w:ascii="Calibri" w:hAnsi="Calibri"/>
          <w:b/>
          <w:i w:val="0"/>
          <w:color w:val="2E6DA4"/>
          <w:sz w:val="26"/>
        </w:rPr>
        <w:t>What Eugene Achieves Today</w:t>
      </w:r>
    </w:p>
    <w:p>
      <w:pPr>
        <w:spacing w:after="120"/>
        <w:jc w:val="both"/>
      </w:pPr>
      <w:r>
        <w:rPr>
          <w:rFonts w:ascii="Calibri" w:hAnsi="Calibri"/>
          <w:b w:val="0"/>
          <w:i w:val="0"/>
          <w:color w:val="000000"/>
          <w:sz w:val="21"/>
        </w:rPr>
        <w:t>The platform answers questions such as "Which organisations hold patents on drugs targeting the same indication as our lead compound, and what is their clinical trial status?" or "Find all organisations in Germany with active Phase III trials in rare disease" — answerable by a non-technical user in under thirty seconds. The deployment is functionally complete: five services run end-to-end across two AWS environments (us-east-1 development; eu-central-1 production) plus a Docker Compose local stack; authentication is wired through Microsoft Entra ID; and twelve schema-validated MCP tools mediate the agent's access to a graph of approximately 484,000 nodes and twenty-one million edges held in Neo4j 5.26 Community Edition.</w:t>
      </w:r>
    </w:p>
    <w:p>
      <w:pPr>
        <w:spacing w:before="200" w:after="80"/>
        <w:outlineLvl w:val="2"/>
      </w:pPr>
      <w:r>
        <w:rPr>
          <w:rFonts w:ascii="Calibri" w:hAnsi="Calibri"/>
          <w:b/>
          <w:i w:val="0"/>
          <w:color w:val="2E6DA4"/>
          <w:sz w:val="26"/>
        </w:rPr>
        <w:t>Architectural Strengths</w:t>
      </w:r>
    </w:p>
    <w:p>
      <w:pPr>
        <w:spacing w:after="120"/>
        <w:jc w:val="both"/>
      </w:pPr>
      <w:r>
        <w:rPr>
          <w:rFonts w:ascii="Calibri" w:hAnsi="Calibri"/>
          <w:b w:val="0"/>
          <w:i w:val="0"/>
          <w:color w:val="000000"/>
          <w:sz w:val="21"/>
        </w:rPr>
        <w:t>The Stage 1 audit recognised six structural strengths that should be preserved through any future refactor: clean Domain-Driven Design with hexagonal layering in the Core API; a comprehensive ontology spanning forty-four node types and thirty-one relationship types; dual-LLM provider auto-detection (OpenAI and Anthropic); a stateless MCP server design that scales horizontally; token-by-token streaming via Server-Sent Events for ChatGPT-class user experience; and parameterised Cypher queries with a hard cap on traversal depth, preventing both injection attacks and pathological graph fan-out.</w:t>
      </w:r>
    </w:p>
    <w:p>
      <w:pPr>
        <w:spacing w:before="200" w:after="80"/>
        <w:outlineLvl w:val="2"/>
      </w:pPr>
      <w:r>
        <w:rPr>
          <w:rFonts w:ascii="Calibri" w:hAnsi="Calibri"/>
          <w:b/>
          <w:i w:val="0"/>
          <w:color w:val="2E6DA4"/>
          <w:sz w:val="26"/>
        </w:rPr>
        <w:t>What Is Missing</w:t>
      </w:r>
    </w:p>
    <w:p>
      <w:pPr>
        <w:spacing w:after="120"/>
        <w:jc w:val="both"/>
      </w:pPr>
      <w:r>
        <w:rPr>
          <w:rFonts w:ascii="Calibri" w:hAnsi="Calibri"/>
          <w:b w:val="0"/>
          <w:i w:val="0"/>
          <w:color w:val="000000"/>
          <w:sz w:val="21"/>
        </w:rPr>
        <w:t>Three categories of gap recur across this assessment. The first is operational and security hardening required before broad enterprise rollout: SSL verification must be re-enabled in MCP-client connections; the shared conversation manager must be instanced per-session to remove a known race condition; query timeouts, rate limits, structured logging, and distributed tracing must be implemented. The second is data and feature gaps: USPTO and PubMed counts in the production graph are presently zero (deletion without reload, and abandoned partial ingestion respectively); RBAC at the row level is unimplemented; the GraphRAG pipeline is deprecated. The third is observability: there is no LLM cost instrumentation, no structured JSON logging, and only five of twenty Core API endpoints are covered by canaries.</w:t>
      </w:r>
    </w:p>
    <w:p>
      <w:pPr>
        <w:spacing w:before="200" w:after="80"/>
        <w:outlineLvl w:val="2"/>
      </w:pPr>
      <w:r>
        <w:rPr>
          <w:rFonts w:ascii="Calibri" w:hAnsi="Calibri"/>
          <w:b/>
          <w:i w:val="0"/>
          <w:color w:val="2E6DA4"/>
          <w:sz w:val="26"/>
        </w:rPr>
        <w:t>Position Heading Into Stage 2</w:t>
      </w:r>
    </w:p>
    <w:p>
      <w:pPr>
        <w:spacing w:after="120"/>
        <w:jc w:val="both"/>
      </w:pPr>
      <w:r>
        <w:rPr>
          <w:rFonts w:ascii="Calibri" w:hAnsi="Calibri"/>
          <w:b w:val="0"/>
          <w:i w:val="0"/>
          <w:color w:val="000000"/>
          <w:sz w:val="21"/>
        </w:rPr>
        <w:t>Eugene is a credible first-generation platform with sound architecture and demonstrated value delivery. It is ready for limited stakeholder use today. Promotion to broad enterprise rollout is a programme of work — sized at approximately eight engineering weeks for the security and operational backbone, and a further twelve to sixteen weeks for the next-generation multi-agent topology described in the companion document. The investment is well-targeted: Eugene's current architectural strengths mean that hardening work compounds rather than displaces what already works.</w:t>
      </w:r>
    </w:p>
    <w:p>
      <w:r>
        <w:br w:type="page"/>
      </w:r>
    </w:p>
    <w:p>
      <w:pPr>
        <w:spacing w:before="360" w:after="240"/>
        <w:outlineLvl w:val="0"/>
      </w:pPr>
      <w:r>
        <w:rPr>
          <w:rFonts w:ascii="Calibri" w:hAnsi="Calibri"/>
          <w:b/>
          <w:i w:val="0"/>
          <w:color w:val="A6192E"/>
          <w:sz w:val="48"/>
        </w:rPr>
        <w:t>Part I — Mission, Stakeholders &amp; Business Context</w:t>
      </w:r>
    </w:p>
    <w:p>
      <w:r>
        <w:br w:type="page"/>
      </w:r>
    </w:p>
    <w:p>
      <w:pPr>
        <w:spacing w:before="280" w:after="160"/>
        <w:outlineLvl w:val="1"/>
      </w:pPr>
      <w:r>
        <w:rPr>
          <w:rFonts w:ascii="Calibri" w:hAnsi="Calibri"/>
          <w:b/>
          <w:i w:val="0"/>
          <w:color w:val="1B3A6B"/>
          <w:sz w:val="34"/>
        </w:rPr>
        <w:t>Mission and User Personas</w:t>
      </w:r>
    </w:p>
    <w:p>
      <w:pPr>
        <w:spacing w:before="200" w:after="80"/>
        <w:outlineLvl w:val="2"/>
      </w:pPr>
      <w:r>
        <w:rPr>
          <w:rFonts w:ascii="Calibri" w:hAnsi="Calibri"/>
          <w:b/>
          <w:i w:val="0"/>
          <w:color w:val="2E6DA4"/>
          <w:sz w:val="26"/>
        </w:rPr>
        <w:t>1.1  Mission Statement</w:t>
      </w:r>
    </w:p>
    <w:p>
      <w:pPr>
        <w:spacing w:after="120"/>
        <w:jc w:val="both"/>
      </w:pPr>
      <w:r>
        <w:rPr>
          <w:rFonts w:ascii="Calibri" w:hAnsi="Calibri"/>
          <w:b w:val="0"/>
          <w:i w:val="0"/>
          <w:color w:val="000000"/>
          <w:sz w:val="21"/>
        </w:rPr>
        <w:t>Eugene exists to compress the time required to answer biomedical competitive-intelligence and research questions from days of manual database navigation to seconds of conversational interaction. The Project Validation Document positions Eugene as "an enterprise-grade, AI-powered biomedical knowledge graph platform purpose-built for CSL Behring's competitive intelligence and research analytics operations." The platform draws on authoritative public sources — USPTO, PubMed, ClinicalTrials.gov — alongside internal CSL data assets, with the explicit objective that a non-technical user should pose a multi-hop biomedical question in plain English and receive a synthesised, evidence-backed answer in real time.</w:t>
      </w:r>
    </w:p>
    <w:p>
      <w:pPr>
        <w:spacing w:before="200" w:after="80"/>
        <w:outlineLvl w:val="2"/>
      </w:pPr>
      <w:r>
        <w:rPr>
          <w:rFonts w:ascii="Calibri" w:hAnsi="Calibri"/>
          <w:b/>
          <w:i w:val="0"/>
          <w:color w:val="2E6DA4"/>
          <w:sz w:val="26"/>
        </w:rPr>
        <w:t>1.2  Primary User Personas</w:t>
      </w:r>
    </w:p>
    <w:p>
      <w:pPr>
        <w:spacing w:after="120"/>
        <w:jc w:val="both"/>
      </w:pPr>
      <w:r>
        <w:rPr>
          <w:rFonts w:ascii="Calibri" w:hAnsi="Calibri"/>
          <w:b w:val="0"/>
          <w:i w:val="0"/>
          <w:color w:val="000000"/>
          <w:sz w:val="21"/>
        </w:rPr>
        <w:t>The platform serves three primary personas. Each shares two needs that legacy database UIs do not satisfy: synthesis across heterogeneous sources, and conversational follow-up that preserves context across turns.</w:t>
      </w:r>
    </w:p>
    <w:p>
      <w:pPr>
        <w:spacing w:before="160" w:after="60"/>
        <w:outlineLvl w:val="3"/>
      </w:pPr>
      <w:r>
        <w:rPr>
          <w:rFonts w:ascii="Calibri" w:hAnsi="Calibri"/>
          <w:b/>
          <w:i w:val="0"/>
          <w:color w:val="00897B"/>
          <w:sz w:val="22"/>
        </w:rPr>
        <w:t>1.2.1  Business Development Analysts</w:t>
      </w:r>
    </w:p>
    <w:p>
      <w:pPr>
        <w:spacing w:after="120"/>
        <w:jc w:val="both"/>
      </w:pPr>
      <w:r>
        <w:rPr>
          <w:rFonts w:ascii="Calibri" w:hAnsi="Calibri"/>
          <w:b w:val="0"/>
          <w:i w:val="0"/>
          <w:color w:val="000000"/>
          <w:sz w:val="21"/>
        </w:rPr>
        <w:t>BD analysts evaluating asset-in-licensing opportunities require depth across therapeutic areas, deal precedent, sponsor concentration, and the patent landscape surrounding a candidate asset. Eugene allows the analyst to express those questions conversationally — "What other companies have late-stage assets targeting Factor IX?" — and receive a structured response with citation back to graph nodes and relationships.</w:t>
      </w:r>
    </w:p>
    <w:p>
      <w:pPr>
        <w:spacing w:before="160" w:after="60"/>
        <w:outlineLvl w:val="3"/>
      </w:pPr>
      <w:r>
        <w:rPr>
          <w:rFonts w:ascii="Calibri" w:hAnsi="Calibri"/>
          <w:b/>
          <w:i w:val="0"/>
          <w:color w:val="00897B"/>
          <w:sz w:val="22"/>
        </w:rPr>
        <w:t>1.2.2  R&amp;D Scientists</w:t>
      </w:r>
    </w:p>
    <w:p>
      <w:pPr>
        <w:spacing w:after="120"/>
        <w:jc w:val="both"/>
      </w:pPr>
      <w:r>
        <w:rPr>
          <w:rFonts w:ascii="Calibri" w:hAnsi="Calibri"/>
          <w:b w:val="0"/>
          <w:i w:val="0"/>
          <w:color w:val="000000"/>
          <w:sz w:val="21"/>
        </w:rPr>
        <w:t>Research scientists exploring target rationale, mechanism-of-action precedent, and trial outcomes across modalities use Eugene as a discovery tool. The graph exposes typed relationships (Drug-TARGETS-GeneProtein, ClinicalTrial-STUDIES-Drug, GeneProtein-ASSOCIATED_WITH-Disease) that allow the agent to traverse evidence chains rather than return isolated keyword matches.</w:t>
      </w:r>
    </w:p>
    <w:p>
      <w:pPr>
        <w:spacing w:before="160" w:after="60"/>
        <w:outlineLvl w:val="3"/>
      </w:pPr>
      <w:r>
        <w:rPr>
          <w:rFonts w:ascii="Calibri" w:hAnsi="Calibri"/>
          <w:b/>
          <w:i w:val="0"/>
          <w:color w:val="00897B"/>
          <w:sz w:val="22"/>
        </w:rPr>
        <w:t>1.2.3  Medical Affairs</w:t>
      </w:r>
    </w:p>
    <w:p>
      <w:pPr>
        <w:spacing w:after="120"/>
        <w:jc w:val="both"/>
      </w:pPr>
      <w:r>
        <w:rPr>
          <w:rFonts w:ascii="Calibri" w:hAnsi="Calibri"/>
          <w:b w:val="0"/>
          <w:i w:val="0"/>
          <w:color w:val="000000"/>
          <w:sz w:val="21"/>
        </w:rPr>
        <w:t>Medical Affairs professionals tracking real-world evidence, indication overlap, and competitor pipelines benefit from the platform's ability to surface patent-trial-publication networks around a single anchor entity. The conversational surface materially lowers the friction of this workflow relative to a stack of separate database UIs.</w:t>
      </w:r>
    </w:p>
    <w:p>
      <w:pPr>
        <w:spacing w:before="200" w:after="80"/>
        <w:outlineLvl w:val="2"/>
      </w:pPr>
      <w:r>
        <w:rPr>
          <w:rFonts w:ascii="Calibri" w:hAnsi="Calibri"/>
          <w:b/>
          <w:i w:val="0"/>
          <w:color w:val="2E6DA4"/>
          <w:sz w:val="26"/>
        </w:rPr>
        <w:t>1.3  Sample User Questions</w:t>
      </w:r>
    </w:p>
    <w:p>
      <w:pPr>
        <w:spacing w:after="120"/>
        <w:jc w:val="both"/>
      </w:pPr>
      <w:r>
        <w:rPr>
          <w:rFonts w:ascii="Calibri" w:hAnsi="Calibri"/>
          <w:b w:val="0"/>
          <w:i w:val="0"/>
          <w:color w:val="000000"/>
          <w:sz w:val="21"/>
        </w:rPr>
        <w:t>The Project Validation Document records the following representative questions, all of which the platform demonstrably answers end-to-end today:</w:t>
      </w:r>
    </w:p>
    <w:p>
      <w:pPr>
        <w:pStyle w:val="ListBullet"/>
        <w:spacing w:after="40"/>
      </w:pPr>
      <w:r>
        <w:rPr>
          <w:rFonts w:ascii="Calibri" w:hAnsi="Calibri"/>
          <w:b w:val="0"/>
          <w:i w:val="0"/>
          <w:sz w:val="21"/>
        </w:rPr>
        <w:t>Which organisations hold patents on drugs targeting the same indication as our lead compound, and what is their clinical trial status?</w:t>
      </w:r>
    </w:p>
    <w:p>
      <w:pPr>
        <w:pStyle w:val="ListBullet"/>
        <w:spacing w:after="40"/>
      </w:pPr>
      <w:r>
        <w:rPr>
          <w:rFonts w:ascii="Calibri" w:hAnsi="Calibri"/>
          <w:b w:val="0"/>
          <w:i w:val="0"/>
          <w:sz w:val="21"/>
        </w:rPr>
        <w:t>Find all organisations in Germany with active Phase III trials in rare disease.</w:t>
      </w:r>
    </w:p>
    <w:p>
      <w:pPr>
        <w:pStyle w:val="ListBullet"/>
        <w:spacing w:after="40"/>
      </w:pPr>
      <w:r>
        <w:rPr>
          <w:rFonts w:ascii="Calibri" w:hAnsi="Calibri"/>
          <w:b w:val="0"/>
          <w:i w:val="0"/>
          <w:sz w:val="21"/>
        </w:rPr>
        <w:t>Which drugs target EGFR and what trials are sponsored by which organisations?</w:t>
      </w:r>
    </w:p>
    <w:p>
      <w:pPr>
        <w:pStyle w:val="ListBullet"/>
        <w:spacing w:after="40"/>
      </w:pPr>
      <w:r>
        <w:rPr>
          <w:rFonts w:ascii="Calibri" w:hAnsi="Calibri"/>
          <w:b w:val="0"/>
          <w:i w:val="0"/>
          <w:sz w:val="21"/>
        </w:rPr>
        <w:t>Trace the connection between AstraZeneca and the KRAS gene through patents and trials.</w:t>
      </w:r>
    </w:p>
    <w:p>
      <w:pPr>
        <w:pStyle w:val="ListBullet"/>
        <w:spacing w:after="40"/>
      </w:pPr>
      <w:r>
        <w:rPr>
          <w:rFonts w:ascii="Calibri" w:hAnsi="Calibri"/>
          <w:b w:val="0"/>
          <w:i w:val="0"/>
          <w:sz w:val="21"/>
        </w:rPr>
        <w:t>What are the relationships of Hemophilia A in the graph?</w:t>
      </w:r>
    </w:p>
    <w:p>
      <w:pPr>
        <w:spacing w:before="280" w:after="160"/>
        <w:outlineLvl w:val="1"/>
      </w:pPr>
      <w:r>
        <w:rPr>
          <w:rFonts w:ascii="Calibri" w:hAnsi="Calibri"/>
          <w:b/>
          <w:i w:val="0"/>
          <w:color w:val="1B3A6B"/>
          <w:sz w:val="34"/>
        </w:rPr>
        <w:t>Stakeholder Map</w:t>
      </w:r>
    </w:p>
    <w:p>
      <w:pPr>
        <w:spacing w:before="200" w:after="80"/>
        <w:outlineLvl w:val="2"/>
      </w:pPr>
      <w:r>
        <w:rPr>
          <w:rFonts w:ascii="Calibri" w:hAnsi="Calibri"/>
          <w:b/>
          <w:i w:val="0"/>
          <w:color w:val="2E6DA4"/>
          <w:sz w:val="26"/>
        </w:rPr>
        <w:t>2.1  Roles and Responsibilities</w:t>
      </w:r>
    </w:p>
    <w:p>
      <w:pPr>
        <w:spacing w:after="120"/>
        <w:jc w:val="both"/>
      </w:pPr>
      <w:r>
        <w:rPr>
          <w:rFonts w:ascii="Calibri" w:hAnsi="Calibri"/>
          <w:b w:val="0"/>
          <w:i w:val="0"/>
          <w:color w:val="000000"/>
          <w:sz w:val="21"/>
        </w:rPr>
        <w:t>The Project Validation Document records the following stakeholder map, which is reproduced here as the canonical reference for ownership boundaries: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Role</w:t>
            </w:r>
          </w:p>
        </w:tc>
        <w:tc>
          <w:tcPr>
            <w:tcW w:type="dxa" w:w="3324"/>
            <w:shd w:val="clear" w:color="auto" w:fill="1B3A6B"/>
            <w:vAlign w:val="top"/>
          </w:tcPr>
          <w:p>
            <w:r/>
            <w:r>
              <w:rPr>
                <w:rFonts w:ascii="Calibri" w:hAnsi="Calibri"/>
                <w:b/>
                <w:i w:val="0"/>
                <w:color w:val="FFFFFF"/>
                <w:sz w:val="18"/>
              </w:rPr>
              <w:t>Stakeholder Group</w:t>
            </w:r>
          </w:p>
        </w:tc>
        <w:tc>
          <w:tcPr>
            <w:tcW w:type="dxa" w:w="3324"/>
            <w:shd w:val="clear" w:color="auto" w:fill="1B3A6B"/>
            <w:vAlign w:val="top"/>
          </w:tcPr>
          <w:p>
            <w:r/>
            <w:r>
              <w:rPr>
                <w:rFonts w:ascii="Calibri" w:hAnsi="Calibri"/>
                <w:b/>
                <w:i w:val="0"/>
                <w:color w:val="FFFFFF"/>
                <w:sz w:val="18"/>
              </w:rPr>
              <w:t>Responsibility</w:t>
            </w:r>
          </w:p>
        </w:tc>
      </w:tr>
      <w:tr>
        <w:tc>
          <w:tcPr>
            <w:tcW w:type="dxa" w:w="3324"/>
            <w:vAlign w:val="top"/>
          </w:tcPr>
          <w:p>
            <w:r/>
            <w:r>
              <w:rPr>
                <w:rFonts w:ascii="Calibri" w:hAnsi="Calibri"/>
                <w:b w:val="0"/>
                <w:i w:val="0"/>
                <w:color w:val="000000"/>
                <w:sz w:val="18"/>
              </w:rPr>
              <w:t>Executive Sponsor</w:t>
            </w:r>
          </w:p>
        </w:tc>
        <w:tc>
          <w:tcPr>
            <w:tcW w:type="dxa" w:w="3324"/>
            <w:vAlign w:val="top"/>
          </w:tcPr>
          <w:p>
            <w:r/>
            <w:r>
              <w:rPr>
                <w:rFonts w:ascii="Calibri" w:hAnsi="Calibri"/>
                <w:b w:val="0"/>
                <w:i w:val="0"/>
                <w:color w:val="000000"/>
                <w:sz w:val="18"/>
              </w:rPr>
              <w:t>CSL Behring Leadership</w:t>
            </w:r>
          </w:p>
        </w:tc>
        <w:tc>
          <w:tcPr>
            <w:tcW w:type="dxa" w:w="3324"/>
            <w:vAlign w:val="top"/>
          </w:tcPr>
          <w:p>
            <w:r/>
            <w:r>
              <w:rPr>
                <w:rFonts w:ascii="Calibri" w:hAnsi="Calibri"/>
                <w:b w:val="0"/>
                <w:i w:val="0"/>
                <w:color w:val="000000"/>
                <w:sz w:val="18"/>
              </w:rPr>
              <w:t>Strategic direction; budget approval</w:t>
            </w:r>
          </w:p>
        </w:tc>
      </w:tr>
      <w:tr>
        <w:tc>
          <w:tcPr>
            <w:tcW w:type="dxa" w:w="3324"/>
            <w:vAlign w:val="top"/>
          </w:tcPr>
          <w:p>
            <w:r/>
            <w:r>
              <w:rPr>
                <w:rFonts w:ascii="Calibri" w:hAnsi="Calibri"/>
                <w:b w:val="0"/>
                <w:i w:val="0"/>
                <w:color w:val="000000"/>
                <w:sz w:val="18"/>
              </w:rPr>
              <w:t>Product Owner</w:t>
            </w:r>
          </w:p>
        </w:tc>
        <w:tc>
          <w:tcPr>
            <w:tcW w:type="dxa" w:w="3324"/>
            <w:vAlign w:val="top"/>
          </w:tcPr>
          <w:p>
            <w:r/>
            <w:r>
              <w:rPr>
                <w:rFonts w:ascii="Calibri" w:hAnsi="Calibri"/>
                <w:b w:val="0"/>
                <w:i w:val="0"/>
                <w:color w:val="000000"/>
                <w:sz w:val="18"/>
              </w:rPr>
              <w:t>R&amp;D / Competitive Intelligence</w:t>
            </w:r>
          </w:p>
        </w:tc>
        <w:tc>
          <w:tcPr>
            <w:tcW w:type="dxa" w:w="3324"/>
            <w:vAlign w:val="top"/>
          </w:tcPr>
          <w:p>
            <w:r/>
            <w:r>
              <w:rPr>
                <w:rFonts w:ascii="Calibri" w:hAnsi="Calibri"/>
                <w:b w:val="0"/>
                <w:i w:val="0"/>
                <w:color w:val="000000"/>
                <w:sz w:val="18"/>
              </w:rPr>
              <w:t>Requirements prioritisation; user acceptance</w:t>
            </w:r>
          </w:p>
        </w:tc>
      </w:tr>
      <w:tr>
        <w:tc>
          <w:tcPr>
            <w:tcW w:type="dxa" w:w="3324"/>
            <w:vAlign w:val="top"/>
          </w:tcPr>
          <w:p>
            <w:r/>
            <w:r>
              <w:rPr>
                <w:rFonts w:ascii="Calibri" w:hAnsi="Calibri"/>
                <w:b w:val="0"/>
                <w:i w:val="0"/>
                <w:color w:val="000000"/>
                <w:sz w:val="18"/>
              </w:rPr>
              <w:t>Platform Engineering</w:t>
            </w:r>
          </w:p>
        </w:tc>
        <w:tc>
          <w:tcPr>
            <w:tcW w:type="dxa" w:w="3324"/>
            <w:vAlign w:val="top"/>
          </w:tcPr>
          <w:p>
            <w:r/>
            <w:r>
              <w:rPr>
                <w:rFonts w:ascii="Calibri" w:hAnsi="Calibri"/>
                <w:b w:val="0"/>
                <w:i w:val="0"/>
                <w:color w:val="000000"/>
                <w:sz w:val="18"/>
              </w:rPr>
              <w:t>AI / Data Engineering Team</w:t>
            </w:r>
          </w:p>
        </w:tc>
        <w:tc>
          <w:tcPr>
            <w:tcW w:type="dxa" w:w="3324"/>
            <w:vAlign w:val="top"/>
          </w:tcPr>
          <w:p>
            <w:r/>
            <w:r>
              <w:rPr>
                <w:rFonts w:ascii="Calibri" w:hAnsi="Calibri"/>
                <w:b w:val="0"/>
                <w:i w:val="0"/>
                <w:color w:val="000000"/>
                <w:sz w:val="18"/>
              </w:rPr>
              <w:t>Architecture, development, deployment</w:t>
            </w:r>
          </w:p>
        </w:tc>
      </w:tr>
      <w:tr>
        <w:tc>
          <w:tcPr>
            <w:tcW w:type="dxa" w:w="3324"/>
            <w:vAlign w:val="top"/>
          </w:tcPr>
          <w:p>
            <w:r/>
            <w:r>
              <w:rPr>
                <w:rFonts w:ascii="Calibri" w:hAnsi="Calibri"/>
                <w:b w:val="0"/>
                <w:i w:val="0"/>
                <w:color w:val="000000"/>
                <w:sz w:val="18"/>
              </w:rPr>
              <w:t>End Users</w:t>
            </w:r>
          </w:p>
        </w:tc>
        <w:tc>
          <w:tcPr>
            <w:tcW w:type="dxa" w:w="3324"/>
            <w:vAlign w:val="top"/>
          </w:tcPr>
          <w:p>
            <w:r/>
            <w:r>
              <w:rPr>
                <w:rFonts w:ascii="Calibri" w:hAnsi="Calibri"/>
                <w:b w:val="0"/>
                <w:i w:val="0"/>
                <w:color w:val="000000"/>
                <w:sz w:val="18"/>
              </w:rPr>
              <w:t>Scientists, Analysts, Medical Affairs</w:t>
            </w:r>
          </w:p>
        </w:tc>
        <w:tc>
          <w:tcPr>
            <w:tcW w:type="dxa" w:w="3324"/>
            <w:vAlign w:val="top"/>
          </w:tcPr>
          <w:p>
            <w:r/>
            <w:r>
              <w:rPr>
                <w:rFonts w:ascii="Calibri" w:hAnsi="Calibri"/>
                <w:b w:val="0"/>
                <w:i w:val="0"/>
                <w:color w:val="000000"/>
                <w:sz w:val="18"/>
              </w:rPr>
              <w:t>Query, interpret, and act on insights</w:t>
            </w:r>
          </w:p>
        </w:tc>
      </w:tr>
      <w:tr>
        <w:tc>
          <w:tcPr>
            <w:tcW w:type="dxa" w:w="3324"/>
            <w:vAlign w:val="top"/>
          </w:tcPr>
          <w:p>
            <w:r/>
            <w:r>
              <w:rPr>
                <w:rFonts w:ascii="Calibri" w:hAnsi="Calibri"/>
                <w:b w:val="0"/>
                <w:i w:val="0"/>
                <w:color w:val="000000"/>
                <w:sz w:val="18"/>
              </w:rPr>
              <w:t>Security / Compliance</w:t>
            </w:r>
          </w:p>
        </w:tc>
        <w:tc>
          <w:tcPr>
            <w:tcW w:type="dxa" w:w="3324"/>
            <w:vAlign w:val="top"/>
          </w:tcPr>
          <w:p>
            <w:r/>
            <w:r>
              <w:rPr>
                <w:rFonts w:ascii="Calibri" w:hAnsi="Calibri"/>
                <w:b w:val="0"/>
                <w:i w:val="0"/>
                <w:color w:val="000000"/>
                <w:sz w:val="18"/>
              </w:rPr>
              <w:t>IT Security; Legal</w:t>
            </w:r>
          </w:p>
        </w:tc>
        <w:tc>
          <w:tcPr>
            <w:tcW w:type="dxa" w:w="3324"/>
            <w:vAlign w:val="top"/>
          </w:tcPr>
          <w:p>
            <w:r/>
            <w:r>
              <w:rPr>
                <w:rFonts w:ascii="Calibri" w:hAnsi="Calibri"/>
                <w:b w:val="0"/>
                <w:i w:val="0"/>
                <w:color w:val="000000"/>
                <w:sz w:val="18"/>
              </w:rPr>
              <w:t>Authentication, data governance review</w:t>
            </w:r>
          </w:p>
        </w:tc>
      </w:tr>
      <w:tr>
        <w:tc>
          <w:tcPr>
            <w:tcW w:type="dxa" w:w="3324"/>
            <w:vAlign w:val="top"/>
          </w:tcPr>
          <w:p>
            <w:r/>
            <w:r>
              <w:rPr>
                <w:rFonts w:ascii="Calibri" w:hAnsi="Calibri"/>
                <w:b w:val="0"/>
                <w:i w:val="0"/>
                <w:color w:val="000000"/>
                <w:sz w:val="18"/>
              </w:rPr>
              <w:t>Infrastructure</w:t>
            </w:r>
          </w:p>
        </w:tc>
        <w:tc>
          <w:tcPr>
            <w:tcW w:type="dxa" w:w="3324"/>
            <w:vAlign w:val="top"/>
          </w:tcPr>
          <w:p>
            <w:r/>
            <w:r>
              <w:rPr>
                <w:rFonts w:ascii="Calibri" w:hAnsi="Calibri"/>
                <w:b w:val="0"/>
                <w:i w:val="0"/>
                <w:color w:val="000000"/>
                <w:sz w:val="18"/>
              </w:rPr>
              <w:t>Cloud Platform Team</w:t>
            </w:r>
          </w:p>
        </w:tc>
        <w:tc>
          <w:tcPr>
            <w:tcW w:type="dxa" w:w="3324"/>
            <w:vAlign w:val="top"/>
          </w:tcPr>
          <w:p>
            <w:r/>
            <w:r>
              <w:rPr>
                <w:rFonts w:ascii="Calibri" w:hAnsi="Calibri"/>
                <w:b w:val="0"/>
                <w:i w:val="0"/>
                <w:color w:val="000000"/>
                <w:sz w:val="18"/>
              </w:rPr>
              <w:t>AWS environment management</w:t>
            </w:r>
          </w:p>
        </w:tc>
      </w:tr>
    </w:tbl>
    <w:p/>
    <w:p>
      <w:pPr>
        <w:spacing w:before="200" w:after="80"/>
        <w:outlineLvl w:val="2"/>
      </w:pPr>
      <w:r>
        <w:rPr>
          <w:rFonts w:ascii="Calibri" w:hAnsi="Calibri"/>
          <w:b/>
          <w:i w:val="0"/>
          <w:color w:val="2E6DA4"/>
          <w:sz w:val="26"/>
        </w:rPr>
        <w:t>2.2  Decision Cadence</w:t>
      </w:r>
    </w:p>
    <w:p>
      <w:pPr>
        <w:spacing w:after="120"/>
        <w:jc w:val="both"/>
      </w:pPr>
      <w:r>
        <w:rPr>
          <w:rFonts w:ascii="Calibri" w:hAnsi="Calibri"/>
          <w:b w:val="0"/>
          <w:i w:val="0"/>
          <w:color w:val="000000"/>
          <w:sz w:val="21"/>
        </w:rPr>
        <w:t>Programme-level decisions follow a quarterly cadence with monthly steering. Component-level engineering decisions are taken inside the Platform Engineering team. The Stage 1 audit observed that this cadence is appropriate for the current scale, but recommends a Change Advisory Board step for the production (eu-central-1) environment once the platform is opened to a broader user base, to manage release blast radius.</w:t>
      </w:r>
    </w:p>
    <w:p>
      <w:pPr>
        <w:spacing w:before="280" w:after="160"/>
        <w:outlineLvl w:val="1"/>
      </w:pPr>
      <w:r>
        <w:rPr>
          <w:rFonts w:ascii="Calibri" w:hAnsi="Calibri"/>
          <w:b/>
          <w:i w:val="0"/>
          <w:color w:val="1B3A6B"/>
          <w:sz w:val="34"/>
        </w:rPr>
        <w:t>Business Value and Use Cases</w:t>
      </w:r>
    </w:p>
    <w:p>
      <w:pPr>
        <w:spacing w:before="200" w:after="80"/>
        <w:outlineLvl w:val="2"/>
      </w:pPr>
      <w:r>
        <w:rPr>
          <w:rFonts w:ascii="Calibri" w:hAnsi="Calibri"/>
          <w:b/>
          <w:i w:val="0"/>
          <w:color w:val="2E6DA4"/>
          <w:sz w:val="26"/>
        </w:rPr>
        <w:t>3.1  Value Proposition</w:t>
      </w:r>
    </w:p>
    <w:p>
      <w:pPr>
        <w:spacing w:after="120"/>
        <w:jc w:val="both"/>
      </w:pPr>
      <w:r>
        <w:rPr>
          <w:rFonts w:ascii="Calibri" w:hAnsi="Calibri"/>
          <w:b w:val="0"/>
          <w:i w:val="0"/>
          <w:color w:val="000000"/>
          <w:sz w:val="21"/>
        </w:rPr>
        <w:t>The validation document articulates five value drivers: accelerated competitive intelligence (analysts query drug pipelines in seconds rather than hours); reduced research latency (the agent eliminates manual Cypher authorship); centralisation of biomedical knowledge into a single navigable graph; scalable analytics infrastructure based on cloud-native services; and auditability via structured MCP tool calls that produce explainable, traceable reasoning chains.</w:t>
      </w:r>
    </w:p>
    <w:p>
      <w:pPr>
        <w:spacing w:before="200" w:after="80"/>
        <w:outlineLvl w:val="2"/>
      </w:pPr>
      <w:r>
        <w:rPr>
          <w:rFonts w:ascii="Calibri" w:hAnsi="Calibri"/>
          <w:b/>
          <w:i w:val="0"/>
          <w:color w:val="2E6DA4"/>
          <w:sz w:val="26"/>
        </w:rPr>
        <w:t>3.2  Indicative Workflows</w:t>
      </w:r>
    </w:p>
    <w:p>
      <w:pPr>
        <w:spacing w:after="120"/>
        <w:jc w:val="both"/>
      </w:pPr>
      <w:r>
        <w:rPr>
          <w:rFonts w:ascii="Calibri" w:hAnsi="Calibri"/>
          <w:b w:val="0"/>
          <w:i w:val="0"/>
          <w:color w:val="000000"/>
          <w:sz w:val="21"/>
        </w:rPr>
        <w:t>Three workflows recur in the audit material and are reproduced here as evidence that the platform's design fits its intended uses:</w:t>
      </w:r>
    </w:p>
    <w:p>
      <w:pPr>
        <w:pStyle w:val="ListNumber"/>
        <w:spacing w:after="40"/>
      </w:pPr>
      <w:r>
        <w:rPr>
          <w:rFonts w:ascii="Calibri" w:hAnsi="Calibri"/>
          <w:b w:val="0"/>
          <w:i w:val="0"/>
          <w:sz w:val="21"/>
        </w:rPr>
        <w:t>Single-entity lookup. Resolve "Imatinib" to a canonical drug node, then fetch details — mechanism of action, status, approval date, aliases. Two MCP tool calls; sub-second to first token.</w:t>
      </w:r>
    </w:p>
    <w:p>
      <w:pPr>
        <w:pStyle w:val="ListNumber"/>
        <w:spacing w:after="40"/>
      </w:pPr>
      <w:r>
        <w:rPr>
          <w:rFonts w:ascii="Calibri" w:hAnsi="Calibri"/>
          <w:b w:val="0"/>
          <w:i w:val="0"/>
          <w:sz w:val="21"/>
        </w:rPr>
        <w:t>Multi-hop competitive intelligence. From an EGFR anchor, identify EGFR-targeting drugs, then for each drug trace clinical trials, then filter by sponsor country. Six to ten MCP tool calls; six to twelve seconds end-to-end.</w:t>
      </w:r>
    </w:p>
    <w:p>
      <w:pPr>
        <w:pStyle w:val="ListNumber"/>
        <w:spacing w:after="40"/>
      </w:pPr>
      <w:r>
        <w:rPr>
          <w:rFonts w:ascii="Calibri" w:hAnsi="Calibri"/>
          <w:b w:val="0"/>
          <w:i w:val="0"/>
          <w:sz w:val="21"/>
        </w:rPr>
        <w:t>Path-based reasoning. Given two named entities (an organisation and a gene), first establish reachability, then return the actual paths through patent-ownership and drug-targeting edges. Four MCP tool calls.</w:t>
      </w:r>
    </w:p>
    <w:p>
      <w:r>
        <w:br w:type="page"/>
      </w:r>
    </w:p>
    <w:p>
      <w:pPr>
        <w:spacing w:before="360" w:after="240"/>
        <w:outlineLvl w:val="0"/>
      </w:pPr>
      <w:r>
        <w:rPr>
          <w:rFonts w:ascii="Calibri" w:hAnsi="Calibri"/>
          <w:b/>
          <w:i w:val="0"/>
          <w:color w:val="A6192E"/>
          <w:sz w:val="48"/>
        </w:rPr>
        <w:t>Part II — System Architecture</w:t>
      </w:r>
    </w:p>
    <w:p>
      <w:r>
        <w:br w:type="page"/>
      </w:r>
    </w:p>
    <w:p>
      <w:pPr>
        <w:spacing w:before="280" w:after="160"/>
        <w:outlineLvl w:val="1"/>
      </w:pPr>
      <w:r>
        <w:rPr>
          <w:rFonts w:ascii="Calibri" w:hAnsi="Calibri"/>
          <w:b/>
          <w:i w:val="0"/>
          <w:color w:val="1B3A6B"/>
          <w:sz w:val="34"/>
        </w:rPr>
        <w:t>Architectural Overview</w:t>
      </w:r>
    </w:p>
    <w:p>
      <w:pPr>
        <w:spacing w:before="200" w:after="80"/>
        <w:outlineLvl w:val="2"/>
      </w:pPr>
      <w:r>
        <w:rPr>
          <w:rFonts w:ascii="Calibri" w:hAnsi="Calibri"/>
          <w:b/>
          <w:i w:val="0"/>
          <w:color w:val="2E6DA4"/>
          <w:sz w:val="26"/>
        </w:rPr>
        <w:t>4.1  Architectural Style</w:t>
      </w:r>
    </w:p>
    <w:p>
      <w:pPr>
        <w:spacing w:after="120"/>
        <w:jc w:val="both"/>
      </w:pPr>
      <w:r>
        <w:rPr>
          <w:rFonts w:ascii="Calibri" w:hAnsi="Calibri"/>
          <w:b w:val="0"/>
          <w:i w:val="0"/>
          <w:color w:val="000000"/>
          <w:sz w:val="21"/>
        </w:rPr>
        <w:t>Eugene implements a four-tier microservice architecture following Domain-Driven Design principles with a hexagonal (ports-and-adapters) internal structure inside the Core API. The five running services — User Interface, Agent Backend, MCP Server, Core API, and Neo4j — are containerised, communicate over well-defined HTTP and Bolt protocols, and run on Docker Compose locally and AWS ECS Fargate in cloud environments.</w:t>
      </w:r>
    </w:p>
    <w:p>
      <w:pPr>
        <w:jc w:val="center"/>
      </w:pPr>
      <w:r>
        <w:drawing>
          <wp:inline xmlns:a="http://schemas.openxmlformats.org/drawingml/2006/main" xmlns:pic="http://schemas.openxmlformats.org/drawingml/2006/picture">
            <wp:extent cx="5943600" cy="3633259"/>
            <wp:docPr id="2" name="Picture 2"/>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5943600" cy="3633259"/>
                    </a:xfrm>
                    <a:prstGeom prst="rect"/>
                  </pic:spPr>
                </pic:pic>
              </a:graphicData>
            </a:graphic>
          </wp:inline>
        </w:drawing>
      </w:r>
    </w:p>
    <w:p>
      <w:pPr>
        <w:spacing w:before="200" w:after="80"/>
        <w:outlineLvl w:val="2"/>
      </w:pPr>
      <w:r>
        <w:rPr>
          <w:rFonts w:ascii="Calibri" w:hAnsi="Calibri"/>
          <w:b/>
          <w:i w:val="0"/>
          <w:color w:val="2E6DA4"/>
          <w:sz w:val="26"/>
        </w:rPr>
        <w:t>4.2  Layer Responsibilities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Tier</w:t>
            </w:r>
          </w:p>
        </w:tc>
        <w:tc>
          <w:tcPr>
            <w:tcW w:type="dxa" w:w="3324"/>
            <w:shd w:val="clear" w:color="auto" w:fill="1B3A6B"/>
            <w:vAlign w:val="top"/>
          </w:tcPr>
          <w:p>
            <w:r/>
            <w:r>
              <w:rPr>
                <w:rFonts w:ascii="Calibri" w:hAnsi="Calibri"/>
                <w:b/>
                <w:i w:val="0"/>
                <w:color w:val="FFFFFF"/>
                <w:sz w:val="18"/>
              </w:rPr>
              <w:t>Service</w:t>
            </w:r>
          </w:p>
        </w:tc>
        <w:tc>
          <w:tcPr>
            <w:tcW w:type="dxa" w:w="3324"/>
            <w:shd w:val="clear" w:color="auto" w:fill="1B3A6B"/>
            <w:vAlign w:val="top"/>
          </w:tcPr>
          <w:p>
            <w:r/>
            <w:r>
              <w:rPr>
                <w:rFonts w:ascii="Calibri" w:hAnsi="Calibri"/>
                <w:b/>
                <w:i w:val="0"/>
                <w:color w:val="FFFFFF"/>
                <w:sz w:val="18"/>
              </w:rPr>
              <w:t>Responsibility</w:t>
            </w:r>
          </w:p>
        </w:tc>
      </w:tr>
      <w:tr>
        <w:tc>
          <w:tcPr>
            <w:tcW w:type="dxa" w:w="3324"/>
            <w:vAlign w:val="top"/>
          </w:tcPr>
          <w:p>
            <w:r/>
            <w:r>
              <w:rPr>
                <w:rFonts w:ascii="Calibri" w:hAnsi="Calibri"/>
                <w:b w:val="0"/>
                <w:i w:val="0"/>
                <w:color w:val="000000"/>
                <w:sz w:val="18"/>
              </w:rPr>
              <w:t>Presentation</w:t>
            </w:r>
          </w:p>
        </w:tc>
        <w:tc>
          <w:tcPr>
            <w:tcW w:type="dxa" w:w="3324"/>
            <w:vAlign w:val="top"/>
          </w:tcPr>
          <w:p>
            <w:r/>
            <w:r>
              <w:rPr>
                <w:rFonts w:ascii="Calibri" w:hAnsi="Calibri"/>
                <w:b w:val="0"/>
                <w:i w:val="0"/>
                <w:color w:val="000000"/>
                <w:sz w:val="18"/>
              </w:rPr>
              <w:t>eugene-agent-ui</w:t>
            </w:r>
          </w:p>
        </w:tc>
        <w:tc>
          <w:tcPr>
            <w:tcW w:type="dxa" w:w="3324"/>
            <w:vAlign w:val="top"/>
          </w:tcPr>
          <w:p>
            <w:r/>
            <w:r>
              <w:rPr>
                <w:rFonts w:ascii="Calibri" w:hAnsi="Calibri"/>
                <w:b w:val="0"/>
                <w:i w:val="0"/>
                <w:color w:val="000000"/>
                <w:sz w:val="18"/>
              </w:rPr>
              <w:t>User interaction; live token rendering</w:t>
            </w:r>
          </w:p>
        </w:tc>
      </w:tr>
      <w:tr>
        <w:tc>
          <w:tcPr>
            <w:tcW w:type="dxa" w:w="3324"/>
            <w:vAlign w:val="top"/>
          </w:tcPr>
          <w:p>
            <w:r/>
            <w:r>
              <w:rPr>
                <w:rFonts w:ascii="Calibri" w:hAnsi="Calibri"/>
                <w:b w:val="0"/>
                <w:i w:val="0"/>
                <w:color w:val="000000"/>
                <w:sz w:val="18"/>
              </w:rPr>
              <w:t>Agent</w:t>
            </w:r>
          </w:p>
        </w:tc>
        <w:tc>
          <w:tcPr>
            <w:tcW w:type="dxa" w:w="3324"/>
            <w:vAlign w:val="top"/>
          </w:tcPr>
          <w:p>
            <w:r/>
            <w:r>
              <w:rPr>
                <w:rFonts w:ascii="Calibri" w:hAnsi="Calibri"/>
                <w:b w:val="0"/>
                <w:i w:val="0"/>
                <w:color w:val="000000"/>
                <w:sz w:val="18"/>
              </w:rPr>
              <w:t>eugene-agent-ws</w:t>
            </w:r>
          </w:p>
        </w:tc>
        <w:tc>
          <w:tcPr>
            <w:tcW w:type="dxa" w:w="3324"/>
            <w:vAlign w:val="top"/>
          </w:tcPr>
          <w:p>
            <w:r/>
            <w:r>
              <w:rPr>
                <w:rFonts w:ascii="Calibri" w:hAnsi="Calibri"/>
                <w:b w:val="0"/>
                <w:i w:val="0"/>
                <w:color w:val="000000"/>
                <w:sz w:val="18"/>
              </w:rPr>
              <w:t>Autonomous reasoning; tool selection; LLM inference</w:t>
            </w:r>
          </w:p>
        </w:tc>
      </w:tr>
      <w:tr>
        <w:tc>
          <w:tcPr>
            <w:tcW w:type="dxa" w:w="3324"/>
            <w:vAlign w:val="top"/>
          </w:tcPr>
          <w:p>
            <w:r/>
            <w:r>
              <w:rPr>
                <w:rFonts w:ascii="Calibri" w:hAnsi="Calibri"/>
                <w:b w:val="0"/>
                <w:i w:val="0"/>
                <w:color w:val="000000"/>
                <w:sz w:val="18"/>
              </w:rPr>
              <w:t>Tool / Orchestration</w:t>
            </w:r>
          </w:p>
        </w:tc>
        <w:tc>
          <w:tcPr>
            <w:tcW w:type="dxa" w:w="3324"/>
            <w:vAlign w:val="top"/>
          </w:tcPr>
          <w:p>
            <w:r/>
            <w:r>
              <w:rPr>
                <w:rFonts w:ascii="Calibri" w:hAnsi="Calibri"/>
                <w:b w:val="0"/>
                <w:i w:val="0"/>
                <w:color w:val="000000"/>
                <w:sz w:val="18"/>
              </w:rPr>
              <w:t>eugene-mcp</w:t>
            </w:r>
          </w:p>
        </w:tc>
        <w:tc>
          <w:tcPr>
            <w:tcW w:type="dxa" w:w="3324"/>
            <w:vAlign w:val="top"/>
          </w:tcPr>
          <w:p>
            <w:r/>
            <w:r>
              <w:rPr>
                <w:rFonts w:ascii="Calibri" w:hAnsi="Calibri"/>
                <w:b w:val="0"/>
                <w:i w:val="0"/>
                <w:color w:val="000000"/>
                <w:sz w:val="18"/>
              </w:rPr>
              <w:t>Structured, authenticated tool surface for agent</w:t>
            </w:r>
          </w:p>
        </w:tc>
      </w:tr>
      <w:tr>
        <w:tc>
          <w:tcPr>
            <w:tcW w:type="dxa" w:w="3324"/>
            <w:vAlign w:val="top"/>
          </w:tcPr>
          <w:p>
            <w:r/>
            <w:r>
              <w:rPr>
                <w:rFonts w:ascii="Calibri" w:hAnsi="Calibri"/>
                <w:b w:val="0"/>
                <w:i w:val="0"/>
                <w:color w:val="000000"/>
                <w:sz w:val="18"/>
              </w:rPr>
              <w:t>Data API</w:t>
            </w:r>
          </w:p>
        </w:tc>
        <w:tc>
          <w:tcPr>
            <w:tcW w:type="dxa" w:w="3324"/>
            <w:vAlign w:val="top"/>
          </w:tcPr>
          <w:p>
            <w:r/>
            <w:r>
              <w:rPr>
                <w:rFonts w:ascii="Calibri" w:hAnsi="Calibri"/>
                <w:b w:val="0"/>
                <w:i w:val="0"/>
                <w:color w:val="000000"/>
                <w:sz w:val="18"/>
              </w:rPr>
              <w:t>eugene_ws</w:t>
            </w:r>
          </w:p>
        </w:tc>
        <w:tc>
          <w:tcPr>
            <w:tcW w:type="dxa" w:w="3324"/>
            <w:vAlign w:val="top"/>
          </w:tcPr>
          <w:p>
            <w:r/>
            <w:r>
              <w:rPr>
                <w:rFonts w:ascii="Calibri" w:hAnsi="Calibri"/>
                <w:b w:val="0"/>
                <w:i w:val="0"/>
                <w:color w:val="000000"/>
                <w:sz w:val="18"/>
              </w:rPr>
              <w:t>Canonical graph data API; 20 routers</w:t>
            </w:r>
          </w:p>
        </w:tc>
      </w:tr>
      <w:tr>
        <w:tc>
          <w:tcPr>
            <w:tcW w:type="dxa" w:w="3324"/>
            <w:vAlign w:val="top"/>
          </w:tcPr>
          <w:p>
            <w:r/>
            <w:r>
              <w:rPr>
                <w:rFonts w:ascii="Calibri" w:hAnsi="Calibri"/>
                <w:b w:val="0"/>
                <w:i w:val="0"/>
                <w:color w:val="000000"/>
                <w:sz w:val="18"/>
              </w:rPr>
              <w:t>Persistence</w:t>
            </w:r>
          </w:p>
        </w:tc>
        <w:tc>
          <w:tcPr>
            <w:tcW w:type="dxa" w:w="3324"/>
            <w:vAlign w:val="top"/>
          </w:tcPr>
          <w:p>
            <w:r/>
            <w:r>
              <w:rPr>
                <w:rFonts w:ascii="Calibri" w:hAnsi="Calibri"/>
                <w:b w:val="0"/>
                <w:i w:val="0"/>
                <w:color w:val="000000"/>
                <w:sz w:val="18"/>
              </w:rPr>
              <w:t>Neo4j 5.26 CE + Milvus</w:t>
            </w:r>
          </w:p>
        </w:tc>
        <w:tc>
          <w:tcPr>
            <w:tcW w:type="dxa" w:w="3324"/>
            <w:vAlign w:val="top"/>
          </w:tcPr>
          <w:p>
            <w:r/>
            <w:r>
              <w:rPr>
                <w:rFonts w:ascii="Calibri" w:hAnsi="Calibri"/>
                <w:b w:val="0"/>
                <w:i w:val="0"/>
                <w:color w:val="000000"/>
                <w:sz w:val="18"/>
              </w:rPr>
              <w:t>Graph + vector storage</w:t>
            </w:r>
          </w:p>
        </w:tc>
      </w:tr>
    </w:tbl>
    <w:p/>
    <w:p>
      <w:pPr>
        <w:spacing w:before="200" w:after="80"/>
        <w:outlineLvl w:val="2"/>
      </w:pPr>
      <w:r>
        <w:rPr>
          <w:rFonts w:ascii="Calibri" w:hAnsi="Calibri"/>
          <w:b/>
          <w:i w:val="0"/>
          <w:color w:val="2E6DA4"/>
          <w:sz w:val="26"/>
        </w:rPr>
        <w:t>4.3  Why Microservices, Why Hexagonal</w:t>
      </w:r>
    </w:p>
    <w:p>
      <w:pPr>
        <w:spacing w:after="120"/>
        <w:jc w:val="both"/>
      </w:pPr>
      <w:r>
        <w:rPr>
          <w:rFonts w:ascii="Calibri" w:hAnsi="Calibri"/>
          <w:b w:val="0"/>
          <w:i w:val="0"/>
          <w:color w:val="000000"/>
          <w:sz w:val="21"/>
        </w:rPr>
        <w:t>The microservice split was driven by three forces. First, independent scaling: the agent tier is bound by LLM throughput, the MCP tier by tool invocation rate, the API tier by Cypher concurrency, and Neo4j by working-set memory; coupling these into a monolith would force the slowest tier to dictate cluster sizing. Second, isolation of failure domains: an LLM provider outage degrades the agent tier without taking down the read-API for direct Cypher queries. Third, deployability: each service has its own Dockerfile, its own ECR repository, and its own ECS task definition, allowing rolling updates without coordinated downtime.</w:t>
      </w:r>
    </w:p>
    <w:p>
      <w:pPr>
        <w:spacing w:after="120"/>
        <w:jc w:val="both"/>
      </w:pPr>
      <w:r>
        <w:rPr>
          <w:rFonts w:ascii="Calibri" w:hAnsi="Calibri"/>
          <w:b w:val="0"/>
          <w:i w:val="0"/>
          <w:color w:val="000000"/>
          <w:sz w:val="21"/>
        </w:rPr>
        <w:t>Hexagonal layering inside the Core API — Router, Orchestrator, Provider, Mapper, Adapter — keeps domain logic free of transport and persistence concerns. Each layer has one reason to change. The audit identified this as a structural strength worth preserving through any future refactor.</w:t>
      </w:r>
    </w:p>
    <w:p>
      <w:pPr>
        <w:spacing w:before="200" w:after="80"/>
        <w:outlineLvl w:val="2"/>
      </w:pPr>
      <w:r>
        <w:rPr>
          <w:rFonts w:ascii="Calibri" w:hAnsi="Calibri"/>
          <w:b/>
          <w:i w:val="0"/>
          <w:color w:val="2E6DA4"/>
          <w:sz w:val="26"/>
        </w:rPr>
        <w:t>4.4  Technology Inventory</w:t>
      </w:r>
    </w:p>
    <w:p>
      <w:pPr>
        <w:spacing w:after="120"/>
        <w:jc w:val="both"/>
      </w:pPr>
      <w:r>
        <w:rPr>
          <w:rFonts w:ascii="Calibri" w:hAnsi="Calibri"/>
          <w:b w:val="0"/>
          <w:i w:val="0"/>
          <w:color w:val="000000"/>
          <w:sz w:val="21"/>
        </w:rPr>
        <w:t>The diagram above arranges Eugene's stack by tier; the same information is reproduced in tabular form below for procurement and audit reference.</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Concern</w:t>
            </w:r>
          </w:p>
        </w:tc>
        <w:tc>
          <w:tcPr>
            <w:tcW w:type="dxa" w:w="4986"/>
            <w:shd w:val="clear" w:color="auto" w:fill="1B3A6B"/>
            <w:vAlign w:val="top"/>
          </w:tcPr>
          <w:p>
            <w:r/>
            <w:r>
              <w:rPr>
                <w:rFonts w:ascii="Calibri" w:hAnsi="Calibri"/>
                <w:b/>
                <w:i w:val="0"/>
                <w:color w:val="FFFFFF"/>
                <w:sz w:val="18"/>
              </w:rPr>
              <w:t>Technology</w:t>
            </w:r>
          </w:p>
        </w:tc>
      </w:tr>
      <w:tr>
        <w:tc>
          <w:tcPr>
            <w:tcW w:type="dxa" w:w="4986"/>
            <w:vAlign w:val="top"/>
          </w:tcPr>
          <w:p>
            <w:r/>
            <w:r>
              <w:rPr>
                <w:rFonts w:ascii="Calibri" w:hAnsi="Calibri"/>
                <w:b w:val="0"/>
                <w:i w:val="0"/>
                <w:color w:val="000000"/>
                <w:sz w:val="18"/>
              </w:rPr>
              <w:t>Language</w:t>
            </w:r>
          </w:p>
        </w:tc>
        <w:tc>
          <w:tcPr>
            <w:tcW w:type="dxa" w:w="4986"/>
            <w:vAlign w:val="top"/>
          </w:tcPr>
          <w:p>
            <w:r/>
            <w:r>
              <w:rPr>
                <w:rFonts w:ascii="Calibri" w:hAnsi="Calibri"/>
                <w:b w:val="0"/>
                <w:i w:val="0"/>
                <w:color w:val="000000"/>
                <w:sz w:val="18"/>
              </w:rPr>
              <w:t>Python 3.12 / 3.13</w:t>
            </w:r>
          </w:p>
        </w:tc>
      </w:tr>
      <w:tr>
        <w:tc>
          <w:tcPr>
            <w:tcW w:type="dxa" w:w="4986"/>
            <w:vAlign w:val="top"/>
          </w:tcPr>
          <w:p>
            <w:r/>
            <w:r>
              <w:rPr>
                <w:rFonts w:ascii="Calibri" w:hAnsi="Calibri"/>
                <w:b w:val="0"/>
                <w:i w:val="0"/>
                <w:color w:val="000000"/>
                <w:sz w:val="18"/>
              </w:rPr>
              <w:t>UI</w:t>
            </w:r>
          </w:p>
        </w:tc>
        <w:tc>
          <w:tcPr>
            <w:tcW w:type="dxa" w:w="4986"/>
            <w:vAlign w:val="top"/>
          </w:tcPr>
          <w:p>
            <w:r/>
            <w:r>
              <w:rPr>
                <w:rFonts w:ascii="Calibri" w:hAnsi="Calibri"/>
                <w:b w:val="0"/>
                <w:i w:val="0"/>
                <w:color w:val="000000"/>
                <w:sz w:val="18"/>
              </w:rPr>
              <w:t>Streamlit (v1) + Next.js + TypeScript (v2)</w:t>
            </w:r>
          </w:p>
        </w:tc>
      </w:tr>
      <w:tr>
        <w:tc>
          <w:tcPr>
            <w:tcW w:type="dxa" w:w="4986"/>
            <w:vAlign w:val="top"/>
          </w:tcPr>
          <w:p>
            <w:r/>
            <w:r>
              <w:rPr>
                <w:rFonts w:ascii="Calibri" w:hAnsi="Calibri"/>
                <w:b w:val="0"/>
                <w:i w:val="0"/>
                <w:color w:val="000000"/>
                <w:sz w:val="18"/>
              </w:rPr>
              <w:t>Agent framework</w:t>
            </w:r>
          </w:p>
        </w:tc>
        <w:tc>
          <w:tcPr>
            <w:tcW w:type="dxa" w:w="4986"/>
            <w:vAlign w:val="top"/>
          </w:tcPr>
          <w:p>
            <w:r/>
            <w:r>
              <w:rPr>
                <w:rFonts w:ascii="Calibri" w:hAnsi="Calibri"/>
                <w:b w:val="0"/>
                <w:i w:val="0"/>
                <w:color w:val="000000"/>
                <w:sz w:val="18"/>
              </w:rPr>
              <w:t>Strands (ReAct pattern)</w:t>
            </w:r>
          </w:p>
        </w:tc>
      </w:tr>
      <w:tr>
        <w:tc>
          <w:tcPr>
            <w:tcW w:type="dxa" w:w="4986"/>
            <w:vAlign w:val="top"/>
          </w:tcPr>
          <w:p>
            <w:r/>
            <w:r>
              <w:rPr>
                <w:rFonts w:ascii="Calibri" w:hAnsi="Calibri"/>
                <w:b w:val="0"/>
                <w:i w:val="0"/>
                <w:color w:val="000000"/>
                <w:sz w:val="18"/>
              </w:rPr>
              <w:t>LLM</w:t>
            </w:r>
          </w:p>
        </w:tc>
        <w:tc>
          <w:tcPr>
            <w:tcW w:type="dxa" w:w="4986"/>
            <w:vAlign w:val="top"/>
          </w:tcPr>
          <w:p>
            <w:r/>
            <w:r>
              <w:rPr>
                <w:rFonts w:ascii="Calibri" w:hAnsi="Calibri"/>
                <w:b w:val="0"/>
                <w:i w:val="0"/>
                <w:color w:val="000000"/>
                <w:sz w:val="18"/>
              </w:rPr>
              <w:t>OpenAI GPT-4.1 or Anthropic Claude Sonnet (auto-detect)</w:t>
            </w:r>
          </w:p>
        </w:tc>
      </w:tr>
      <w:tr>
        <w:tc>
          <w:tcPr>
            <w:tcW w:type="dxa" w:w="4986"/>
            <w:vAlign w:val="top"/>
          </w:tcPr>
          <w:p>
            <w:r/>
            <w:r>
              <w:rPr>
                <w:rFonts w:ascii="Calibri" w:hAnsi="Calibri"/>
                <w:b w:val="0"/>
                <w:i w:val="0"/>
                <w:color w:val="000000"/>
                <w:sz w:val="18"/>
              </w:rPr>
              <w:t>API framework</w:t>
            </w:r>
          </w:p>
        </w:tc>
        <w:tc>
          <w:tcPr>
            <w:tcW w:type="dxa" w:w="4986"/>
            <w:vAlign w:val="top"/>
          </w:tcPr>
          <w:p>
            <w:r/>
            <w:r>
              <w:rPr>
                <w:rFonts w:ascii="Calibri" w:hAnsi="Calibri"/>
                <w:b w:val="0"/>
                <w:i w:val="0"/>
                <w:color w:val="000000"/>
                <w:sz w:val="18"/>
              </w:rPr>
              <w:t>FastAPI</w:t>
            </w:r>
          </w:p>
        </w:tc>
      </w:tr>
      <w:tr>
        <w:tc>
          <w:tcPr>
            <w:tcW w:type="dxa" w:w="4986"/>
            <w:vAlign w:val="top"/>
          </w:tcPr>
          <w:p>
            <w:r/>
            <w:r>
              <w:rPr>
                <w:rFonts w:ascii="Calibri" w:hAnsi="Calibri"/>
                <w:b w:val="0"/>
                <w:i w:val="0"/>
                <w:color w:val="000000"/>
                <w:sz w:val="18"/>
              </w:rPr>
              <w:t>Validation</w:t>
            </w:r>
          </w:p>
        </w:tc>
        <w:tc>
          <w:tcPr>
            <w:tcW w:type="dxa" w:w="4986"/>
            <w:vAlign w:val="top"/>
          </w:tcPr>
          <w:p>
            <w:r/>
            <w:r>
              <w:rPr>
                <w:rFonts w:ascii="Calibri" w:hAnsi="Calibri"/>
                <w:b w:val="0"/>
                <w:i w:val="0"/>
                <w:color w:val="000000"/>
                <w:sz w:val="18"/>
              </w:rPr>
              <w:t>Pydantic v2</w:t>
            </w:r>
          </w:p>
        </w:tc>
      </w:tr>
      <w:tr>
        <w:tc>
          <w:tcPr>
            <w:tcW w:type="dxa" w:w="4986"/>
            <w:vAlign w:val="top"/>
          </w:tcPr>
          <w:p>
            <w:r/>
            <w:r>
              <w:rPr>
                <w:rFonts w:ascii="Calibri" w:hAnsi="Calibri"/>
                <w:b w:val="0"/>
                <w:i w:val="0"/>
                <w:color w:val="000000"/>
                <w:sz w:val="18"/>
              </w:rPr>
              <w:t>Tool protocol</w:t>
            </w:r>
          </w:p>
        </w:tc>
        <w:tc>
          <w:tcPr>
            <w:tcW w:type="dxa" w:w="4986"/>
            <w:vAlign w:val="top"/>
          </w:tcPr>
          <w:p>
            <w:r/>
            <w:r>
              <w:rPr>
                <w:rFonts w:ascii="Calibri" w:hAnsi="Calibri"/>
                <w:b w:val="0"/>
                <w:i w:val="0"/>
                <w:color w:val="000000"/>
                <w:sz w:val="18"/>
              </w:rPr>
              <w:t>FastMCP (HTTP, stateless_http=True)</w:t>
            </w:r>
          </w:p>
        </w:tc>
      </w:tr>
      <w:tr>
        <w:tc>
          <w:tcPr>
            <w:tcW w:type="dxa" w:w="4986"/>
            <w:vAlign w:val="top"/>
          </w:tcPr>
          <w:p>
            <w:r/>
            <w:r>
              <w:rPr>
                <w:rFonts w:ascii="Calibri" w:hAnsi="Calibri"/>
                <w:b w:val="0"/>
                <w:i w:val="0"/>
                <w:color w:val="000000"/>
                <w:sz w:val="18"/>
              </w:rPr>
              <w:t>Graph DB</w:t>
            </w:r>
          </w:p>
        </w:tc>
        <w:tc>
          <w:tcPr>
            <w:tcW w:type="dxa" w:w="4986"/>
            <w:vAlign w:val="top"/>
          </w:tcPr>
          <w:p>
            <w:r/>
            <w:r>
              <w:rPr>
                <w:rFonts w:ascii="Calibri" w:hAnsi="Calibri"/>
                <w:b w:val="0"/>
                <w:i w:val="0"/>
                <w:color w:val="000000"/>
                <w:sz w:val="18"/>
              </w:rPr>
              <w:t>Neo4j 5.26.9 Community + APOC + GDS</w:t>
            </w:r>
          </w:p>
        </w:tc>
      </w:tr>
      <w:tr>
        <w:tc>
          <w:tcPr>
            <w:tcW w:type="dxa" w:w="4986"/>
            <w:vAlign w:val="top"/>
          </w:tcPr>
          <w:p>
            <w:r/>
            <w:r>
              <w:rPr>
                <w:rFonts w:ascii="Calibri" w:hAnsi="Calibri"/>
                <w:b w:val="0"/>
                <w:i w:val="0"/>
                <w:color w:val="000000"/>
                <w:sz w:val="18"/>
              </w:rPr>
              <w:t>Vector store</w:t>
            </w:r>
          </w:p>
        </w:tc>
        <w:tc>
          <w:tcPr>
            <w:tcW w:type="dxa" w:w="4986"/>
            <w:vAlign w:val="top"/>
          </w:tcPr>
          <w:p>
            <w:r/>
            <w:r>
              <w:rPr>
                <w:rFonts w:ascii="Calibri" w:hAnsi="Calibri"/>
                <w:b w:val="0"/>
                <w:i w:val="0"/>
                <w:color w:val="000000"/>
                <w:sz w:val="18"/>
              </w:rPr>
              <w:t>Milvus + sentence-transformers</w:t>
            </w:r>
          </w:p>
        </w:tc>
      </w:tr>
      <w:tr>
        <w:tc>
          <w:tcPr>
            <w:tcW w:type="dxa" w:w="4986"/>
            <w:vAlign w:val="top"/>
          </w:tcPr>
          <w:p>
            <w:r/>
            <w:r>
              <w:rPr>
                <w:rFonts w:ascii="Calibri" w:hAnsi="Calibri"/>
                <w:b w:val="0"/>
                <w:i w:val="0"/>
                <w:color w:val="000000"/>
                <w:sz w:val="18"/>
              </w:rPr>
              <w:t>HTTP clients</w:t>
            </w:r>
          </w:p>
        </w:tc>
        <w:tc>
          <w:tcPr>
            <w:tcW w:type="dxa" w:w="4986"/>
            <w:vAlign w:val="top"/>
          </w:tcPr>
          <w:p>
            <w:r/>
            <w:r>
              <w:rPr>
                <w:rFonts w:ascii="Calibri" w:hAnsi="Calibri"/>
                <w:b w:val="0"/>
                <w:i w:val="0"/>
                <w:color w:val="000000"/>
                <w:sz w:val="18"/>
              </w:rPr>
              <w:t>httpx, aiohttp</w:t>
            </w:r>
          </w:p>
        </w:tc>
      </w:tr>
      <w:tr>
        <w:tc>
          <w:tcPr>
            <w:tcW w:type="dxa" w:w="4986"/>
            <w:vAlign w:val="top"/>
          </w:tcPr>
          <w:p>
            <w:r/>
            <w:r>
              <w:rPr>
                <w:rFonts w:ascii="Calibri" w:hAnsi="Calibri"/>
                <w:b w:val="0"/>
                <w:i w:val="0"/>
                <w:color w:val="000000"/>
                <w:sz w:val="18"/>
              </w:rPr>
              <w:t>Containerisation</w:t>
            </w:r>
          </w:p>
        </w:tc>
        <w:tc>
          <w:tcPr>
            <w:tcW w:type="dxa" w:w="4986"/>
            <w:vAlign w:val="top"/>
          </w:tcPr>
          <w:p>
            <w:r/>
            <w:r>
              <w:rPr>
                <w:rFonts w:ascii="Calibri" w:hAnsi="Calibri"/>
                <w:b w:val="0"/>
                <w:i w:val="0"/>
                <w:color w:val="000000"/>
                <w:sz w:val="18"/>
              </w:rPr>
              <w:t>Docker, Docker Compose</w:t>
            </w:r>
          </w:p>
        </w:tc>
      </w:tr>
      <w:tr>
        <w:tc>
          <w:tcPr>
            <w:tcW w:type="dxa" w:w="4986"/>
            <w:vAlign w:val="top"/>
          </w:tcPr>
          <w:p>
            <w:r/>
            <w:r>
              <w:rPr>
                <w:rFonts w:ascii="Calibri" w:hAnsi="Calibri"/>
                <w:b w:val="0"/>
                <w:i w:val="0"/>
                <w:color w:val="000000"/>
                <w:sz w:val="18"/>
              </w:rPr>
              <w:t>Orchestration</w:t>
            </w:r>
          </w:p>
        </w:tc>
        <w:tc>
          <w:tcPr>
            <w:tcW w:type="dxa" w:w="4986"/>
            <w:vAlign w:val="top"/>
          </w:tcPr>
          <w:p>
            <w:r/>
            <w:r>
              <w:rPr>
                <w:rFonts w:ascii="Calibri" w:hAnsi="Calibri"/>
                <w:b w:val="0"/>
                <w:i w:val="0"/>
                <w:color w:val="000000"/>
                <w:sz w:val="18"/>
              </w:rPr>
              <w:t>AWS ECS Fargate</w:t>
            </w:r>
          </w:p>
        </w:tc>
      </w:tr>
      <w:tr>
        <w:tc>
          <w:tcPr>
            <w:tcW w:type="dxa" w:w="4986"/>
            <w:vAlign w:val="top"/>
          </w:tcPr>
          <w:p>
            <w:r/>
            <w:r>
              <w:rPr>
                <w:rFonts w:ascii="Calibri" w:hAnsi="Calibri"/>
                <w:b w:val="0"/>
                <w:i w:val="0"/>
                <w:color w:val="000000"/>
                <w:sz w:val="18"/>
              </w:rPr>
              <w:t>IaC</w:t>
            </w:r>
          </w:p>
        </w:tc>
        <w:tc>
          <w:tcPr>
            <w:tcW w:type="dxa" w:w="4986"/>
            <w:vAlign w:val="top"/>
          </w:tcPr>
          <w:p>
            <w:r/>
            <w:r>
              <w:rPr>
                <w:rFonts w:ascii="Calibri" w:hAnsi="Calibri"/>
                <w:b w:val="0"/>
                <w:i w:val="0"/>
                <w:color w:val="000000"/>
                <w:sz w:val="18"/>
              </w:rPr>
              <w:t>Terraform</w:t>
            </w:r>
          </w:p>
        </w:tc>
      </w:tr>
      <w:tr>
        <w:tc>
          <w:tcPr>
            <w:tcW w:type="dxa" w:w="4986"/>
            <w:vAlign w:val="top"/>
          </w:tcPr>
          <w:p>
            <w:r/>
            <w:r>
              <w:rPr>
                <w:rFonts w:ascii="Calibri" w:hAnsi="Calibri"/>
                <w:b w:val="0"/>
                <w:i w:val="0"/>
                <w:color w:val="000000"/>
                <w:sz w:val="18"/>
              </w:rPr>
              <w:t>Code quality</w:t>
            </w:r>
          </w:p>
        </w:tc>
        <w:tc>
          <w:tcPr>
            <w:tcW w:type="dxa" w:w="4986"/>
            <w:vAlign w:val="top"/>
          </w:tcPr>
          <w:p>
            <w:r/>
            <w:r>
              <w:rPr>
                <w:rFonts w:ascii="Calibri" w:hAnsi="Calibri"/>
                <w:b w:val="0"/>
                <w:i w:val="0"/>
                <w:color w:val="000000"/>
                <w:sz w:val="18"/>
              </w:rPr>
              <w:t>Black, Ruff, isort, pre-commit</w:t>
            </w:r>
          </w:p>
        </w:tc>
      </w:tr>
      <w:tr>
        <w:tc>
          <w:tcPr>
            <w:tcW w:type="dxa" w:w="4986"/>
            <w:vAlign w:val="top"/>
          </w:tcPr>
          <w:p>
            <w:r/>
            <w:r>
              <w:rPr>
                <w:rFonts w:ascii="Calibri" w:hAnsi="Calibri"/>
                <w:b w:val="0"/>
                <w:i w:val="0"/>
                <w:color w:val="000000"/>
                <w:sz w:val="18"/>
              </w:rPr>
              <w:t>Tests</w:t>
            </w:r>
          </w:p>
        </w:tc>
        <w:tc>
          <w:tcPr>
            <w:tcW w:type="dxa" w:w="4986"/>
            <w:vAlign w:val="top"/>
          </w:tcPr>
          <w:p>
            <w:r/>
            <w:r>
              <w:rPr>
                <w:rFonts w:ascii="Calibri" w:hAnsi="Calibri"/>
                <w:b w:val="0"/>
                <w:i w:val="0"/>
                <w:color w:val="000000"/>
                <w:sz w:val="18"/>
              </w:rPr>
              <w:t>Pytest with parallel execution</w:t>
            </w:r>
          </w:p>
        </w:tc>
      </w:tr>
    </w:tbl>
    <w:p/>
    <w:p>
      <w:pPr>
        <w:spacing w:before="280" w:after="160"/>
        <w:outlineLvl w:val="1"/>
      </w:pPr>
      <w:r>
        <w:rPr>
          <w:rFonts w:ascii="Calibri" w:hAnsi="Calibri"/>
          <w:b/>
          <w:i w:val="0"/>
          <w:color w:val="1B3A6B"/>
          <w:sz w:val="34"/>
        </w:rPr>
        <w:t>End-to-End Request Flow</w:t>
      </w:r>
    </w:p>
    <w:p>
      <w:pPr>
        <w:spacing w:before="200" w:after="80"/>
        <w:outlineLvl w:val="2"/>
      </w:pPr>
      <w:r>
        <w:rPr>
          <w:rFonts w:ascii="Calibri" w:hAnsi="Calibri"/>
          <w:b/>
          <w:i w:val="0"/>
          <w:color w:val="2E6DA4"/>
          <w:sz w:val="26"/>
        </w:rPr>
        <w:t>5.1  Canonical Sequence</w:t>
      </w:r>
    </w:p>
    <w:p>
      <w:pPr>
        <w:spacing w:after="120"/>
        <w:jc w:val="both"/>
      </w:pPr>
      <w:r>
        <w:rPr>
          <w:rFonts w:ascii="Calibri" w:hAnsi="Calibri"/>
          <w:b w:val="0"/>
          <w:i w:val="0"/>
          <w:color w:val="000000"/>
          <w:sz w:val="21"/>
        </w:rPr>
        <w:t>When a user submits a question, control flows through every tier of the platform. The diagram below traces the canonical seventeen-step path for the example query "What are the relationships of Hemophilia A?". Three properties are worth highlighting for stakeholders: the user sees partial answers within roughly one second through SSE streaming; the same Eugene-issued JWT propagates from browser through agent, MCP, and Core API, with each tier independently validating signature, audience, issuer, and expiry; and Cypher traversal depth is hard-capped at two hops, so the LLM cannot induce arbitrary database queries.</w:t>
      </w:r>
    </w:p>
    <w:p>
      <w:pPr>
        <w:jc w:val="center"/>
      </w:pPr>
      <w:r>
        <w:drawing>
          <wp:inline xmlns:a="http://schemas.openxmlformats.org/drawingml/2006/main" xmlns:pic="http://schemas.openxmlformats.org/drawingml/2006/picture">
            <wp:extent cx="5943600" cy="4897817"/>
            <wp:docPr id="3" name="Picture 3"/>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5943600" cy="4897817"/>
                    </a:xfrm>
                    <a:prstGeom prst="rect"/>
                  </pic:spPr>
                </pic:pic>
              </a:graphicData>
            </a:graphic>
          </wp:inline>
        </w:drawing>
      </w:r>
    </w:p>
    <w:p>
      <w:pPr>
        <w:spacing w:before="200" w:after="80"/>
        <w:outlineLvl w:val="2"/>
      </w:pPr>
      <w:r>
        <w:rPr>
          <w:rFonts w:ascii="Calibri" w:hAnsi="Calibri"/>
          <w:b/>
          <w:i w:val="0"/>
          <w:color w:val="2E6DA4"/>
          <w:sz w:val="26"/>
        </w:rPr>
        <w:t>5.2  ReAct Loop Inside the Agent</w:t>
      </w:r>
    </w:p>
    <w:p>
      <w:pPr>
        <w:spacing w:after="120"/>
        <w:jc w:val="both"/>
      </w:pPr>
      <w:r>
        <w:rPr>
          <w:rFonts w:ascii="Calibri" w:hAnsi="Calibri"/>
          <w:b w:val="0"/>
          <w:i w:val="0"/>
          <w:color w:val="000000"/>
          <w:sz w:val="21"/>
        </w:rPr>
        <w:t>Inside the Agent Backend, the Strands framework drives a ReAct loop:</w:t>
      </w:r>
    </w:p>
    <w:p>
      <w:pPr>
        <w:pStyle w:val="ListNumber"/>
        <w:spacing w:after="40"/>
      </w:pPr>
      <w:r>
        <w:rPr>
          <w:rFonts w:ascii="Calibri" w:hAnsi="Calibri"/>
          <w:b w:val="0"/>
          <w:i w:val="0"/>
          <w:sz w:val="21"/>
        </w:rPr>
        <w:t>Think — the LLM produces a reasoning step and decides which tool to call.</w:t>
      </w:r>
    </w:p>
    <w:p>
      <w:pPr>
        <w:pStyle w:val="ListNumber"/>
        <w:spacing w:after="40"/>
      </w:pPr>
      <w:r>
        <w:rPr>
          <w:rFonts w:ascii="Calibri" w:hAnsi="Calibri"/>
          <w:b w:val="0"/>
          <w:i w:val="0"/>
          <w:sz w:val="21"/>
        </w:rPr>
        <w:t>Act — the agent invokes the chosen MCP tool with structured arguments.</w:t>
      </w:r>
    </w:p>
    <w:p>
      <w:pPr>
        <w:pStyle w:val="ListNumber"/>
        <w:spacing w:after="40"/>
      </w:pPr>
      <w:r>
        <w:rPr>
          <w:rFonts w:ascii="Calibri" w:hAnsi="Calibri"/>
          <w:b w:val="0"/>
          <w:i w:val="0"/>
          <w:sz w:val="21"/>
        </w:rPr>
        <w:t>Observe — the tool result is returned and injected into the agent's context.</w:t>
      </w:r>
    </w:p>
    <w:p>
      <w:pPr>
        <w:pStyle w:val="ListNumber"/>
        <w:spacing w:after="40"/>
      </w:pPr>
      <w:r>
        <w:rPr>
          <w:rFonts w:ascii="Calibri" w:hAnsi="Calibri"/>
          <w:b w:val="0"/>
          <w:i w:val="0"/>
          <w:sz w:val="21"/>
        </w:rPr>
        <w:t>Repeat — until the agent has sufficient evidence or its tool budget is exhausted.</w:t>
      </w:r>
    </w:p>
    <w:p>
      <w:pPr>
        <w:pStyle w:val="ListNumber"/>
        <w:spacing w:after="40"/>
      </w:pPr>
      <w:r>
        <w:rPr>
          <w:rFonts w:ascii="Calibri" w:hAnsi="Calibri"/>
          <w:b w:val="0"/>
          <w:i w:val="0"/>
          <w:sz w:val="21"/>
        </w:rPr>
        <w:t>Synthesise — the agent emits a token-by-token answer over Server-Sent Events.</w:t>
      </w:r>
    </w:p>
    <w:p>
      <w:pPr>
        <w:spacing w:after="120"/>
        <w:jc w:val="both"/>
      </w:pPr>
      <w:r>
        <w:rPr>
          <w:rFonts w:ascii="Calibri" w:hAnsi="Calibri"/>
          <w:b w:val="0"/>
          <w:i w:val="0"/>
          <w:color w:val="000000"/>
          <w:sz w:val="21"/>
        </w:rPr>
        <w:t>The agent's stopping criterion is described in the validation document as "sufficient evidence to produce a complete, cited answer, or when the tool call budget is reached." The audit identifies a finding (AGT-02) that the iteration limit is not currently bounded in code; this is addressed in the companion document under the recommended quick wins.</w:t>
      </w:r>
    </w:p>
    <w:p>
      <w:pPr>
        <w:spacing w:before="200" w:after="80"/>
        <w:outlineLvl w:val="2"/>
      </w:pPr>
      <w:r>
        <w:rPr>
          <w:rFonts w:ascii="Calibri" w:hAnsi="Calibri"/>
          <w:b/>
          <w:i w:val="0"/>
          <w:color w:val="2E6DA4"/>
          <w:sz w:val="26"/>
        </w:rPr>
        <w:t>5.3  JWT Propagation</w:t>
      </w:r>
    </w:p>
    <w:p>
      <w:pPr>
        <w:spacing w:after="120"/>
        <w:jc w:val="both"/>
      </w:pPr>
      <w:r>
        <w:rPr>
          <w:rFonts w:ascii="Calibri" w:hAnsi="Calibri"/>
          <w:b w:val="0"/>
          <w:i w:val="0"/>
          <w:color w:val="000000"/>
          <w:sz w:val="21"/>
        </w:rPr>
        <w:t>A single Eugene-issued HS256 JWT travels with the request from the browser through every tier. Each tier independently validates signature, audience, issuer, and expiry. The MCP server, on receiving a tool call, forwards the same Bearer token to the Core API; the Core API validates again before any Cypher is issued. This design ensures that future row-level RBAC policies are honoured automatically; the platform does not have a backend service identity that bypasses user context.</w:t>
      </w:r>
    </w:p>
    <w:p>
      <w:r>
        <w:br w:type="page"/>
      </w:r>
    </w:p>
    <w:p>
      <w:pPr>
        <w:spacing w:before="360" w:after="240"/>
        <w:outlineLvl w:val="0"/>
      </w:pPr>
      <w:r>
        <w:rPr>
          <w:rFonts w:ascii="Calibri" w:hAnsi="Calibri"/>
          <w:b/>
          <w:i w:val="0"/>
          <w:color w:val="A6192E"/>
          <w:sz w:val="48"/>
        </w:rPr>
        <w:t>Part III — Component Deep-Dives</w:t>
      </w:r>
    </w:p>
    <w:p>
      <w:r>
        <w:br w:type="page"/>
      </w:r>
    </w:p>
    <w:p>
      <w:pPr>
        <w:spacing w:before="280" w:after="160"/>
        <w:outlineLvl w:val="1"/>
      </w:pPr>
      <w:r>
        <w:rPr>
          <w:rFonts w:ascii="Calibri" w:hAnsi="Calibri"/>
          <w:b/>
          <w:i w:val="0"/>
          <w:color w:val="1B3A6B"/>
          <w:sz w:val="34"/>
        </w:rPr>
        <w:t>Streamlit Chat UI (eugene-agent-ui)</w:t>
      </w:r>
    </w:p>
    <w:p>
      <w:pPr>
        <w:spacing w:before="200" w:after="80"/>
        <w:outlineLvl w:val="2"/>
      </w:pPr>
      <w:r>
        <w:rPr>
          <w:rFonts w:ascii="Calibri" w:hAnsi="Calibri"/>
          <w:b/>
          <w:i w:val="0"/>
          <w:color w:val="2E6DA4"/>
          <w:sz w:val="26"/>
        </w:rPr>
        <w:t>6.1  Purpose</w:t>
      </w:r>
    </w:p>
    <w:p>
      <w:pPr>
        <w:spacing w:after="120"/>
        <w:jc w:val="both"/>
      </w:pPr>
      <w:r>
        <w:rPr>
          <w:rFonts w:ascii="Calibri" w:hAnsi="Calibri"/>
          <w:b w:val="0"/>
          <w:i w:val="0"/>
          <w:color w:val="000000"/>
          <w:sz w:val="21"/>
        </w:rPr>
        <w:t>The Streamlit Chat UI is the conversational entry point to Eugene. It accepts a natural-language question, posts it to the Agent Backend with a Bearer JWT, and renders the streamed response token by token. The implementation lives at `agents/eugene-agent-ui/src/eugene_agent_ui.py`; it runs locally on port 18501 and on cluster port 8501 inside the container.</w:t>
      </w:r>
    </w:p>
    <w:p>
      <w:pPr>
        <w:spacing w:before="200" w:after="80"/>
        <w:outlineLvl w:val="2"/>
      </w:pPr>
      <w:r>
        <w:rPr>
          <w:rFonts w:ascii="Calibri" w:hAnsi="Calibri"/>
          <w:b/>
          <w:i w:val="0"/>
          <w:color w:val="2E6DA4"/>
          <w:sz w:val="26"/>
        </w:rPr>
        <w:t>6.2  Design</w:t>
      </w:r>
    </w:p>
    <w:p>
      <w:pPr>
        <w:spacing w:after="120"/>
        <w:jc w:val="both"/>
      </w:pPr>
      <w:r>
        <w:rPr>
          <w:rFonts w:ascii="Calibri" w:hAnsi="Calibri"/>
          <w:b w:val="0"/>
          <w:i w:val="0"/>
          <w:color w:val="000000"/>
          <w:sz w:val="21"/>
        </w:rPr>
        <w:t>Streamlit was chosen because it allowed a working chat surface to be delivered in Python alongside the rest of the stack, reusing the same SSE client patterns as the Agent Backend's tests. The state model is conventional Streamlit: session-state holds the conversation identifier, message list, and JWT; each user input triggers a re-render that appends the assistant turn as it streams.</w:t>
      </w:r>
    </w:p>
    <w:p>
      <w:pPr>
        <w:spacing w:before="200" w:after="80"/>
        <w:outlineLvl w:val="2"/>
      </w:pPr>
      <w:r>
        <w:rPr>
          <w:rFonts w:ascii="Calibri" w:hAnsi="Calibri"/>
          <w:b/>
          <w:i w:val="0"/>
          <w:color w:val="2E6DA4"/>
          <w:sz w:val="26"/>
        </w:rPr>
        <w:t>6.3  Implementation</w:t>
      </w:r>
    </w:p>
    <w:p>
      <w:pPr>
        <w:spacing w:after="120"/>
        <w:jc w:val="both"/>
      </w:pPr>
      <w:r>
        <w:rPr>
          <w:rFonts w:ascii="Calibri" w:hAnsi="Calibri"/>
          <w:b w:val="0"/>
          <w:i w:val="0"/>
          <w:color w:val="000000"/>
          <w:sz w:val="21"/>
        </w:rPr>
        <w:t>Concrete features observed in the source:</w:t>
      </w:r>
    </w:p>
    <w:p>
      <w:pPr>
        <w:pStyle w:val="ListBullet"/>
        <w:spacing w:after="40"/>
      </w:pPr>
      <w:r>
        <w:rPr>
          <w:rFonts w:ascii="Calibri" w:hAnsi="Calibri"/>
          <w:b w:val="0"/>
          <w:i w:val="0"/>
          <w:sz w:val="21"/>
        </w:rPr>
        <w:t>Sidebar with conversation ID tracking and a 'New Conversation' button.</w:t>
      </w:r>
    </w:p>
    <w:p>
      <w:pPr>
        <w:pStyle w:val="ListBullet"/>
        <w:spacing w:after="40"/>
      </w:pPr>
      <w:r>
        <w:rPr>
          <w:rFonts w:ascii="Calibri" w:hAnsi="Calibri"/>
          <w:b w:val="0"/>
          <w:i w:val="0"/>
          <w:sz w:val="21"/>
        </w:rPr>
        <w:t>Datasource checkboxes (eugene, pubmed, http) that toggle which categories of MCP tools the agent is permitted to invoke for the next turn.</w:t>
      </w:r>
    </w:p>
    <w:p>
      <w:pPr>
        <w:pStyle w:val="ListBullet"/>
        <w:spacing w:after="40"/>
      </w:pPr>
      <w:r>
        <w:rPr>
          <w:rFonts w:ascii="Calibri" w:hAnsi="Calibri"/>
          <w:b w:val="0"/>
          <w:i w:val="0"/>
          <w:sz w:val="21"/>
        </w:rPr>
        <w:t>OAuth token input via a masked text field in the sidebar; the token persists in session state until the user explicitly clears it.</w:t>
      </w:r>
    </w:p>
    <w:p>
      <w:pPr>
        <w:pStyle w:val="ListBullet"/>
        <w:spacing w:after="40"/>
      </w:pPr>
      <w:r>
        <w:rPr>
          <w:rFonts w:ascii="Calibri" w:hAnsi="Calibri"/>
          <w:b w:val="0"/>
          <w:i w:val="0"/>
          <w:sz w:val="21"/>
        </w:rPr>
        <w:t>A greeting prompt rendered the first time a token is supplied, providing context to first-time users.</w:t>
      </w:r>
    </w:p>
    <w:p>
      <w:pPr>
        <w:pStyle w:val="ListBullet"/>
        <w:spacing w:after="40"/>
      </w:pPr>
      <w:r>
        <w:rPr>
          <w:rFonts w:ascii="Calibri" w:hAnsi="Calibri"/>
          <w:b w:val="0"/>
          <w:i w:val="0"/>
          <w:sz w:val="21"/>
        </w:rPr>
        <w:t>Chat message history rendered using Streamlit's chat_message component.</w:t>
      </w:r>
    </w:p>
    <w:p>
      <w:pPr>
        <w:pStyle w:val="ListBullet"/>
        <w:spacing w:after="40"/>
      </w:pPr>
      <w:r>
        <w:rPr>
          <w:rFonts w:ascii="Calibri" w:hAnsi="Calibri"/>
          <w:b w:val="0"/>
          <w:i w:val="0"/>
          <w:sz w:val="21"/>
        </w:rPr>
        <w:t>Suggestion pills — seven curated example queries that one-click populate the input box, intended to scaffold first-use.</w:t>
      </w:r>
    </w:p>
    <w:p>
      <w:pPr>
        <w:pStyle w:val="ListBullet"/>
        <w:spacing w:after="40"/>
      </w:pPr>
      <w:r>
        <w:rPr>
          <w:rFonts w:ascii="Calibri" w:hAnsi="Calibri"/>
          <w:b w:val="0"/>
          <w:i w:val="0"/>
          <w:sz w:val="21"/>
        </w:rPr>
        <w:t>Streaming response loop using asyncio over an SSE endpoint, with a trailing block-cursor character (▌) while tokens are still arriving.</w:t>
      </w:r>
    </w:p>
    <w:p>
      <w:pPr>
        <w:spacing w:before="200" w:after="80"/>
        <w:outlineLvl w:val="2"/>
      </w:pPr>
      <w:r>
        <w:rPr>
          <w:rFonts w:ascii="Calibri" w:hAnsi="Calibri"/>
          <w:b/>
          <w:i w:val="0"/>
          <w:color w:val="2E6DA4"/>
          <w:sz w:val="26"/>
        </w:rPr>
        <w:t>6.4  Current State</w:t>
      </w:r>
    </w:p>
    <w:p>
      <w:pPr>
        <w:spacing w:after="120"/>
        <w:jc w:val="both"/>
      </w:pPr>
      <w:r>
        <w:rPr>
          <w:rFonts w:ascii="Calibri" w:hAnsi="Calibri"/>
          <w:b w:val="0"/>
          <w:i w:val="0"/>
          <w:color w:val="000000"/>
          <w:sz w:val="21"/>
        </w:rPr>
        <w:t>The UI works end-to-end. JWTs round-trip correctly. Streaming is smooth on broadband connections, with first-token latency dominated by LLM provider round-trip rather than network or rendering. The seven suggestion pills cover drug aliases, organisation queries, multi-hop relationship queries, PubMed lookups, and graph-fact extraction — a representative cross-section of the platform's strengths.</w:t>
      </w:r>
    </w:p>
    <w:p>
      <w:pPr>
        <w:spacing w:before="200" w:after="80"/>
        <w:outlineLvl w:val="2"/>
      </w:pPr>
      <w:r>
        <w:rPr>
          <w:rFonts w:ascii="Calibri" w:hAnsi="Calibri"/>
          <w:b/>
          <w:i w:val="0"/>
          <w:color w:val="2E6DA4"/>
          <w:sz w:val="26"/>
        </w:rPr>
        <w:t>6.5  Evaluation</w:t>
      </w:r>
    </w:p>
    <w:p>
      <w:pPr>
        <w:spacing w:after="120"/>
        <w:jc w:val="both"/>
      </w:pPr>
      <w:r>
        <w:rPr>
          <w:rFonts w:ascii="Calibri" w:hAnsi="Calibri"/>
          <w:b w:val="0"/>
          <w:i w:val="0"/>
          <w:color w:val="000000"/>
          <w:sz w:val="21"/>
        </w:rPr>
        <w:t>The Streamlit choice has accelerated initial delivery but constrains the user experience that can be offered. Specifically: the absence of citation panels, evidence drilldown, graph visualisation, and conversation export are all artefacts of the framework's batteries-included assumption set rather than fundamental gaps in the platform's data layer. The audit notes a Next.js v2 implementation under `agents/eugene-agent-ui-next/` that addresses these constraints with a three-pane layout (sidebar / chat / interactive Cytoscape graph), floating glass-card overlays, and a node details panel — but this v2 surface is not yet promoted to production.</w:t>
      </w:r>
    </w:p>
    <w:p>
      <w:pPr>
        <w:spacing w:before="200" w:after="80"/>
        <w:outlineLvl w:val="2"/>
      </w:pPr>
      <w:r>
        <w:rPr>
          <w:rFonts w:ascii="Calibri" w:hAnsi="Calibri"/>
          <w:b/>
          <w:i w:val="0"/>
          <w:color w:val="2E6DA4"/>
          <w:sz w:val="26"/>
        </w:rPr>
        <w:t>6.6  Findings Linkage</w:t>
      </w:r>
    </w:p>
    <w:p>
      <w:pPr>
        <w:spacing w:after="120"/>
        <w:jc w:val="both"/>
      </w:pPr>
      <w:r>
        <w:rPr>
          <w:rFonts w:ascii="Calibri" w:hAnsi="Calibri"/>
          <w:b w:val="0"/>
          <w:i w:val="0"/>
          <w:color w:val="000000"/>
          <w:sz w:val="21"/>
        </w:rPr>
        <w:t>No Stage 1 findings are filed against the Streamlit UI directly; the issues above are characterised as enhancement opportunities rather than defects. The companion document's UI-enhancement chapter proposes fifteen concrete improvements that, taken together, materially raise the surface area of the platform without altering the underlying data path.</w:t>
      </w:r>
    </w:p>
    <w:p>
      <w:pPr>
        <w:spacing w:before="280" w:after="160"/>
        <w:outlineLvl w:val="1"/>
      </w:pPr>
      <w:r>
        <w:rPr>
          <w:rFonts w:ascii="Calibri" w:hAnsi="Calibri"/>
          <w:b/>
          <w:i w:val="0"/>
          <w:color w:val="1B3A6B"/>
          <w:sz w:val="34"/>
        </w:rPr>
        <w:t>Agent Backend (eugene-agent-ws)</w:t>
      </w:r>
    </w:p>
    <w:p>
      <w:pPr>
        <w:spacing w:before="200" w:after="80"/>
        <w:outlineLvl w:val="2"/>
      </w:pPr>
      <w:r>
        <w:rPr>
          <w:rFonts w:ascii="Calibri" w:hAnsi="Calibri"/>
          <w:b/>
          <w:i w:val="0"/>
          <w:color w:val="2E6DA4"/>
          <w:sz w:val="26"/>
        </w:rPr>
        <w:t>7.1  Purpose</w:t>
      </w:r>
    </w:p>
    <w:p>
      <w:pPr>
        <w:spacing w:after="120"/>
        <w:jc w:val="both"/>
      </w:pPr>
      <w:r>
        <w:rPr>
          <w:rFonts w:ascii="Calibri" w:hAnsi="Calibri"/>
          <w:b w:val="0"/>
          <w:i w:val="0"/>
          <w:color w:val="000000"/>
          <w:sz w:val="21"/>
        </w:rPr>
        <w:t>The Agent Backend hosts the autonomous reasoning loop that turns a user question into a sequence of tool calls and a synthesised answer. It is a FastAPI service that exposes a single user-facing route — `POST /agent/api/query/stream` — and an internal `/health` endpoint.</w:t>
      </w:r>
    </w:p>
    <w:p>
      <w:pPr>
        <w:spacing w:before="200" w:after="80"/>
        <w:outlineLvl w:val="2"/>
      </w:pPr>
      <w:r>
        <w:rPr>
          <w:rFonts w:ascii="Calibri" w:hAnsi="Calibri"/>
          <w:b/>
          <w:i w:val="0"/>
          <w:color w:val="2E6DA4"/>
          <w:sz w:val="26"/>
        </w:rPr>
        <w:t>7.2  Design</w:t>
      </w:r>
    </w:p>
    <w:p>
      <w:pPr>
        <w:spacing w:after="120"/>
        <w:jc w:val="both"/>
      </w:pPr>
      <w:r>
        <w:rPr>
          <w:rFonts w:ascii="Calibri" w:hAnsi="Calibri"/>
          <w:b w:val="0"/>
          <w:i w:val="0"/>
          <w:color w:val="000000"/>
          <w:sz w:val="21"/>
        </w:rPr>
        <w:t>The agent uses the Strands framework, configured with a domain-specific system prompt that positions the agent as a biomedical competitive-intelligence expert. It is initialised per-conversation with a sliding-window memory of the most recent N turns, registers twelve MCP tools (plus locally available utilities such as a calculator and HTTP request tool), and runs in fully async, streaming mode.</w:t>
      </w:r>
    </w:p>
    <w:p>
      <w:pPr>
        <w:spacing w:before="200" w:after="80"/>
        <w:outlineLvl w:val="2"/>
      </w:pPr>
      <w:r>
        <w:rPr>
          <w:rFonts w:ascii="Calibri" w:hAnsi="Calibri"/>
          <w:b/>
          <w:i w:val="0"/>
          <w:color w:val="2E6DA4"/>
          <w:sz w:val="26"/>
        </w:rPr>
        <w:t>7.3  Implementation Highlights</w:t>
      </w:r>
    </w:p>
    <w:p>
      <w:pPr>
        <w:pStyle w:val="ListBullet"/>
        <w:spacing w:after="40"/>
      </w:pPr>
      <w:r>
        <w:rPr>
          <w:rFonts w:ascii="Calibri" w:hAnsi="Calibri"/>
          <w:b w:val="0"/>
          <w:i w:val="0"/>
          <w:sz w:val="21"/>
        </w:rPr>
        <w:t>ReAct iteration is driven by Strands; the agent does not execute Cypher directly.</w:t>
      </w:r>
    </w:p>
    <w:p>
      <w:pPr>
        <w:pStyle w:val="ListBullet"/>
        <w:spacing w:after="40"/>
      </w:pPr>
      <w:r>
        <w:rPr>
          <w:rFonts w:ascii="Calibri" w:hAnsi="Calibri"/>
          <w:b w:val="0"/>
          <w:i w:val="0"/>
          <w:sz w:val="21"/>
        </w:rPr>
        <w:t>MCP tools are loaded at conversation start via MCPClient.list_tools_sync() against the configured eugene-mcp endpoint.</w:t>
      </w:r>
    </w:p>
    <w:p>
      <w:pPr>
        <w:pStyle w:val="ListBullet"/>
        <w:spacing w:after="40"/>
      </w:pPr>
      <w:r>
        <w:rPr>
          <w:rFonts w:ascii="Calibri" w:hAnsi="Calibri"/>
          <w:b w:val="0"/>
          <w:i w:val="0"/>
          <w:sz w:val="21"/>
        </w:rPr>
        <w:t>LLM provider is auto-detected: if ANTHROPIC_API_KEY is set the Anthropic client is used; otherwise the OpenAI client. Both can be pinned via ANTHROPIC_MODEL_ID / OPENAI_MODEL_ID environment variables.</w:t>
      </w:r>
    </w:p>
    <w:p>
      <w:pPr>
        <w:pStyle w:val="ListBullet"/>
        <w:spacing w:after="40"/>
      </w:pPr>
      <w:r>
        <w:rPr>
          <w:rFonts w:ascii="Calibri" w:hAnsi="Calibri"/>
          <w:b w:val="0"/>
          <w:i w:val="0"/>
          <w:sz w:val="21"/>
        </w:rPr>
        <w:t>Token stream emission uses FastAPI's StreamingResponse with text/event-stream.</w:t>
      </w:r>
    </w:p>
    <w:p>
      <w:pPr>
        <w:pStyle w:val="ListBullet"/>
        <w:spacing w:after="40"/>
      </w:pPr>
      <w:r>
        <w:rPr>
          <w:rFonts w:ascii="Calibri" w:hAnsi="Calibri"/>
          <w:b w:val="0"/>
          <w:i w:val="0"/>
          <w:sz w:val="21"/>
        </w:rPr>
        <w:t>Per-conversation state is stored via a FileSessionManager, which writes session checkpoints to local disk inside the container.</w:t>
      </w:r>
    </w:p>
    <w:p>
      <w:pPr>
        <w:spacing w:before="200" w:after="80"/>
        <w:outlineLvl w:val="2"/>
      </w:pPr>
      <w:r>
        <w:rPr>
          <w:rFonts w:ascii="Calibri" w:hAnsi="Calibri"/>
          <w:b/>
          <w:i w:val="0"/>
          <w:color w:val="2E6DA4"/>
          <w:sz w:val="26"/>
        </w:rPr>
        <w:t>7.4  Current State</w:t>
      </w:r>
    </w:p>
    <w:p>
      <w:pPr>
        <w:spacing w:after="120"/>
        <w:jc w:val="both"/>
      </w:pPr>
      <w:r>
        <w:rPr>
          <w:rFonts w:ascii="Calibri" w:hAnsi="Calibri"/>
          <w:b w:val="0"/>
          <w:i w:val="0"/>
          <w:color w:val="000000"/>
          <w:sz w:val="21"/>
        </w:rPr>
        <w:t>The agent successfully drives multi-turn conversations through twelve to sixteen tool calls in the worst observed case, reliably terminating with a synthesised answer that cites the graph entities consulted. Concurrent users are supported on local Docker (five to ten) and in ECS production (fifty to two hundred, depending on task count and instance sizing).</w:t>
      </w:r>
    </w:p>
    <w:p>
      <w:pPr>
        <w:spacing w:before="200" w:after="80"/>
        <w:outlineLvl w:val="2"/>
      </w:pPr>
      <w:r>
        <w:rPr>
          <w:rFonts w:ascii="Calibri" w:hAnsi="Calibri"/>
          <w:b/>
          <w:i w:val="0"/>
          <w:color w:val="2E6DA4"/>
          <w:sz w:val="26"/>
        </w:rPr>
        <w:t>7.5  Evaluation</w:t>
      </w:r>
    </w:p>
    <w:p>
      <w:pPr>
        <w:spacing w:after="120"/>
        <w:jc w:val="both"/>
      </w:pPr>
      <w:r>
        <w:rPr>
          <w:rFonts w:ascii="Calibri" w:hAnsi="Calibri"/>
          <w:b w:val="0"/>
          <w:i w:val="0"/>
          <w:color w:val="000000"/>
          <w:sz w:val="21"/>
        </w:rPr>
        <w:t>The agent's design is correct in its choice of framework, prompt construction, and tool-mediated boundary. However, the audit identified six findings filed against the agent tier, four of which are HIGH severity and one CRITICAL. These are reproduced verbatim below and addressed in the companion document.</w:t>
      </w:r>
    </w:p>
    <w:p>
      <w:pPr>
        <w:spacing w:before="200" w:after="80"/>
        <w:outlineLvl w:val="2"/>
      </w:pPr>
      <w:r>
        <w:rPr>
          <w:rFonts w:ascii="Calibri" w:hAnsi="Calibri"/>
          <w:b/>
          <w:i w:val="0"/>
          <w:color w:val="2E6DA4"/>
          <w:sz w:val="26"/>
        </w:rPr>
        <w:t>7.6  Component Findings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Finding</w:t>
            </w:r>
          </w:p>
        </w:tc>
        <w:tc>
          <w:tcPr>
            <w:tcW w:type="dxa" w:w="3324"/>
            <w:shd w:val="clear" w:color="auto" w:fill="1B3A6B"/>
            <w:vAlign w:val="top"/>
          </w:tcPr>
          <w:p>
            <w:r/>
            <w:r>
              <w:rPr>
                <w:rFonts w:ascii="Calibri" w:hAnsi="Calibri"/>
                <w:b/>
                <w:i w:val="0"/>
                <w:color w:val="FFFFFF"/>
                <w:sz w:val="18"/>
              </w:rPr>
              <w:t>Severity</w:t>
            </w:r>
          </w:p>
        </w:tc>
        <w:tc>
          <w:tcPr>
            <w:tcW w:type="dxa" w:w="3324"/>
            <w:shd w:val="clear" w:color="auto" w:fill="1B3A6B"/>
            <w:vAlign w:val="top"/>
          </w:tcPr>
          <w:p>
            <w:r/>
            <w:r>
              <w:rPr>
                <w:rFonts w:ascii="Calibri" w:hAnsi="Calibri"/>
                <w:b/>
                <w:i w:val="0"/>
                <w:color w:val="FFFFFF"/>
                <w:sz w:val="18"/>
              </w:rPr>
              <w:t>Description</w:t>
            </w:r>
          </w:p>
        </w:tc>
      </w:tr>
      <w:tr>
        <w:tc>
          <w:tcPr>
            <w:tcW w:type="dxa" w:w="3324"/>
            <w:vAlign w:val="top"/>
          </w:tcPr>
          <w:p>
            <w:r/>
            <w:r>
              <w:rPr>
                <w:rFonts w:ascii="Calibri" w:hAnsi="Calibri"/>
                <w:b w:val="0"/>
                <w:i w:val="0"/>
                <w:color w:val="000000"/>
                <w:sz w:val="18"/>
              </w:rPr>
              <w:t>AGT-01</w:t>
            </w:r>
          </w:p>
        </w:tc>
        <w:tc>
          <w:tcPr>
            <w:tcW w:type="dxa" w:w="3324"/>
            <w:vAlign w:val="top"/>
          </w:tcPr>
          <w:p>
            <w:r/>
            <w:r>
              <w:rPr>
                <w:rFonts w:ascii="Calibri" w:hAnsi="Calibri"/>
                <w:b w:val="0"/>
                <w:i w:val="0"/>
                <w:color w:val="000000"/>
                <w:sz w:val="18"/>
              </w:rPr>
              <w:t>CRITICAL</w:t>
            </w:r>
          </w:p>
        </w:tc>
        <w:tc>
          <w:tcPr>
            <w:tcW w:type="dxa" w:w="3324"/>
            <w:vAlign w:val="top"/>
          </w:tcPr>
          <w:p>
            <w:r/>
            <w:r>
              <w:rPr>
                <w:rFonts w:ascii="Calibri" w:hAnsi="Calibri"/>
                <w:b w:val="0"/>
                <w:i w:val="0"/>
                <w:color w:val="000000"/>
                <w:sz w:val="18"/>
              </w:rPr>
              <w:t>Shared SlidingWindowConversationManager — race condition under concurrent load; sessions can corrupt each other.</w:t>
            </w:r>
          </w:p>
        </w:tc>
      </w:tr>
      <w:tr>
        <w:tc>
          <w:tcPr>
            <w:tcW w:type="dxa" w:w="3324"/>
            <w:vAlign w:val="top"/>
          </w:tcPr>
          <w:p>
            <w:r/>
            <w:r>
              <w:rPr>
                <w:rFonts w:ascii="Calibri" w:hAnsi="Calibri"/>
                <w:b w:val="0"/>
                <w:i w:val="0"/>
                <w:color w:val="000000"/>
                <w:sz w:val="18"/>
              </w:rPr>
              <w:t>AGT-02</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Unbounded ReAct loop — no max_iterations; agent can cycle indefinitely on tool calls.</w:t>
            </w:r>
          </w:p>
        </w:tc>
      </w:tr>
      <w:tr>
        <w:tc>
          <w:tcPr>
            <w:tcW w:type="dxa" w:w="3324"/>
            <w:vAlign w:val="top"/>
          </w:tcPr>
          <w:p>
            <w:r/>
            <w:r>
              <w:rPr>
                <w:rFonts w:ascii="Calibri" w:hAnsi="Calibri"/>
                <w:b w:val="0"/>
                <w:i w:val="0"/>
                <w:color w:val="000000"/>
                <w:sz w:val="18"/>
              </w:rPr>
              <w:t>AGT-03</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No agent execution timeout — streaming connection held until the client times out (typically 120 seconds).</w:t>
            </w:r>
          </w:p>
        </w:tc>
      </w:tr>
      <w:tr>
        <w:tc>
          <w:tcPr>
            <w:tcW w:type="dxa" w:w="3324"/>
            <w:vAlign w:val="top"/>
          </w:tcPr>
          <w:p>
            <w:r/>
            <w:r>
              <w:rPr>
                <w:rFonts w:ascii="Calibri" w:hAnsi="Calibri"/>
                <w:b w:val="0"/>
                <w:i w:val="0"/>
                <w:color w:val="000000"/>
                <w:sz w:val="18"/>
              </w:rPr>
              <w:t>AGT-04</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Anthropic client timeout not configured — only OpenAI has a 60-second timeout; Anthropic has none.</w:t>
            </w:r>
          </w:p>
        </w:tc>
      </w:tr>
      <w:tr>
        <w:tc>
          <w:tcPr>
            <w:tcW w:type="dxa" w:w="3324"/>
            <w:vAlign w:val="top"/>
          </w:tcPr>
          <w:p>
            <w:r/>
            <w:r>
              <w:rPr>
                <w:rFonts w:ascii="Calibri" w:hAnsi="Calibri"/>
                <w:b w:val="0"/>
                <w:i w:val="0"/>
                <w:color w:val="000000"/>
                <w:sz w:val="18"/>
              </w:rPr>
              <w:t>AGT-05</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python_repl tool always loaded — the LLM has access to arbitrary code execution unless explicitly disabled.</w:t>
            </w:r>
          </w:p>
        </w:tc>
      </w:tr>
      <w:tr>
        <w:tc>
          <w:tcPr>
            <w:tcW w:type="dxa" w:w="3324"/>
            <w:vAlign w:val="top"/>
          </w:tcPr>
          <w:p>
            <w:r/>
            <w:r>
              <w:rPr>
                <w:rFonts w:ascii="Calibri" w:hAnsi="Calibri"/>
                <w:b w:val="0"/>
                <w:i w:val="0"/>
                <w:color w:val="000000"/>
                <w:sz w:val="18"/>
              </w:rPr>
              <w:t>AGT-06</w:t>
            </w:r>
          </w:p>
        </w:tc>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FileSessionManager — no recovery, no cleanup, file contention under concurrent writes for the same conversation.</w:t>
            </w:r>
          </w:p>
        </w:tc>
      </w:tr>
    </w:tbl>
    <w:p/>
    <w:p>
      <w:pPr>
        <w:spacing w:before="280" w:after="160"/>
        <w:outlineLvl w:val="1"/>
      </w:pPr>
      <w:r>
        <w:rPr>
          <w:rFonts w:ascii="Calibri" w:hAnsi="Calibri"/>
          <w:b/>
          <w:i w:val="0"/>
          <w:color w:val="1B3A6B"/>
          <w:sz w:val="34"/>
        </w:rPr>
        <w:t>MCP Server (eugene-mcp)</w:t>
      </w:r>
    </w:p>
    <w:p>
      <w:pPr>
        <w:spacing w:before="200" w:after="80"/>
        <w:outlineLvl w:val="2"/>
      </w:pPr>
      <w:r>
        <w:rPr>
          <w:rFonts w:ascii="Calibri" w:hAnsi="Calibri"/>
          <w:b/>
          <w:i w:val="0"/>
          <w:color w:val="2E6DA4"/>
          <w:sz w:val="26"/>
        </w:rPr>
        <w:t>8.1  Purpose</w:t>
      </w:r>
    </w:p>
    <w:p>
      <w:pPr>
        <w:spacing w:after="120"/>
        <w:jc w:val="both"/>
      </w:pPr>
      <w:r>
        <w:rPr>
          <w:rFonts w:ascii="Calibri" w:hAnsi="Calibri"/>
          <w:b w:val="0"/>
          <w:i w:val="0"/>
          <w:color w:val="000000"/>
          <w:sz w:val="21"/>
        </w:rPr>
        <w:t>The MCP Server is the governed abstraction layer between the agent and the Core API. The agent never queries Neo4j or the Core API directly; every tool invocation passes through the MCP layer, which applies authentication, schema validation, and audit logging.</w:t>
      </w:r>
    </w:p>
    <w:p>
      <w:pPr>
        <w:spacing w:before="200" w:after="80"/>
        <w:outlineLvl w:val="2"/>
      </w:pPr>
      <w:r>
        <w:rPr>
          <w:rFonts w:ascii="Calibri" w:hAnsi="Calibri"/>
          <w:b/>
          <w:i w:val="0"/>
          <w:color w:val="2E6DA4"/>
          <w:sz w:val="26"/>
        </w:rPr>
        <w:t>8.2  Design Principles</w:t>
      </w:r>
    </w:p>
    <w:p>
      <w:pPr>
        <w:pStyle w:val="ListBullet"/>
        <w:spacing w:after="40"/>
      </w:pPr>
      <w:r>
        <w:rPr>
          <w:rFonts w:ascii="Calibri" w:hAnsi="Calibri"/>
          <w:b w:val="0"/>
          <w:i w:val="0"/>
          <w:sz w:val="21"/>
        </w:rPr>
        <w:t>Tool governance — the agent can only perform operations explicitly defined and approved as MCP tools.</w:t>
      </w:r>
    </w:p>
    <w:p>
      <w:pPr>
        <w:pStyle w:val="ListBullet"/>
        <w:spacing w:after="40"/>
      </w:pPr>
      <w:r>
        <w:rPr>
          <w:rFonts w:ascii="Calibri" w:hAnsi="Calibri"/>
          <w:b w:val="0"/>
          <w:i w:val="0"/>
          <w:sz w:val="21"/>
        </w:rPr>
        <w:t>Authentication propagation — every tool call carries and validates the user's JWT, ensuring agent actions respect user permissions.</w:t>
      </w:r>
    </w:p>
    <w:p>
      <w:pPr>
        <w:pStyle w:val="ListBullet"/>
        <w:spacing w:after="40"/>
      </w:pPr>
      <w:r>
        <w:rPr>
          <w:rFonts w:ascii="Calibri" w:hAnsi="Calibri"/>
          <w:b w:val="0"/>
          <w:i w:val="0"/>
          <w:sz w:val="21"/>
        </w:rPr>
        <w:t>Abstraction — the agent is shielded from Core API URL structure, Cypher syntax, and data transformation logic.</w:t>
      </w:r>
    </w:p>
    <w:p>
      <w:pPr>
        <w:pStyle w:val="ListBullet"/>
        <w:spacing w:after="40"/>
      </w:pPr>
      <w:r>
        <w:rPr>
          <w:rFonts w:ascii="Calibri" w:hAnsi="Calibri"/>
          <w:b w:val="0"/>
          <w:i w:val="0"/>
          <w:sz w:val="21"/>
        </w:rPr>
        <w:t>Auditability — all tool calls are structured and loggable at the MCP layer.</w:t>
      </w:r>
    </w:p>
    <w:p>
      <w:pPr>
        <w:pStyle w:val="ListBullet"/>
        <w:spacing w:after="40"/>
      </w:pPr>
      <w:r>
        <w:rPr>
          <w:rFonts w:ascii="Calibri" w:hAnsi="Calibri"/>
          <w:b w:val="0"/>
          <w:i w:val="0"/>
          <w:sz w:val="21"/>
        </w:rPr>
        <w:t>Statelessness — FastMCP is configured with stateless_http=True, enabling horizontal scale-out without sticky sessions.</w:t>
      </w:r>
    </w:p>
    <w:p>
      <w:pPr>
        <w:spacing w:before="200" w:after="80"/>
        <w:outlineLvl w:val="2"/>
      </w:pPr>
      <w:r>
        <w:rPr>
          <w:rFonts w:ascii="Calibri" w:hAnsi="Calibri"/>
          <w:b/>
          <w:i w:val="0"/>
          <w:color w:val="2E6DA4"/>
          <w:sz w:val="26"/>
        </w:rPr>
        <w:t>8.3  The Twelve Tools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Tool</w:t>
            </w:r>
          </w:p>
        </w:tc>
        <w:tc>
          <w:tcPr>
            <w:tcW w:type="dxa" w:w="3324"/>
            <w:shd w:val="clear" w:color="auto" w:fill="1B3A6B"/>
            <w:vAlign w:val="top"/>
          </w:tcPr>
          <w:p>
            <w:r/>
            <w:r>
              <w:rPr>
                <w:rFonts w:ascii="Calibri" w:hAnsi="Calibri"/>
                <w:b/>
                <w:i w:val="0"/>
                <w:color w:val="FFFFFF"/>
                <w:sz w:val="18"/>
              </w:rPr>
              <w:t>Description</w:t>
            </w:r>
          </w:p>
        </w:tc>
        <w:tc>
          <w:tcPr>
            <w:tcW w:type="dxa" w:w="3324"/>
            <w:shd w:val="clear" w:color="auto" w:fill="1B3A6B"/>
            <w:vAlign w:val="top"/>
          </w:tcPr>
          <w:p>
            <w:r/>
            <w:r>
              <w:rPr>
                <w:rFonts w:ascii="Calibri" w:hAnsi="Calibri"/>
                <w:b/>
                <w:i w:val="0"/>
                <w:color w:val="FFFFFF"/>
                <w:sz w:val="18"/>
              </w:rPr>
              <w:t>Maps to API</w:t>
            </w:r>
          </w:p>
        </w:tc>
      </w:tr>
      <w:tr>
        <w:tc>
          <w:tcPr>
            <w:tcW w:type="dxa" w:w="3324"/>
            <w:vAlign w:val="top"/>
          </w:tcPr>
          <w:p>
            <w:r/>
            <w:r>
              <w:rPr>
                <w:rFonts w:ascii="Calibri" w:hAnsi="Calibri"/>
                <w:b w:val="0"/>
                <w:i w:val="0"/>
                <w:color w:val="000000"/>
                <w:sz w:val="18"/>
              </w:rPr>
              <w:t>fetch_identity</w:t>
            </w:r>
          </w:p>
        </w:tc>
        <w:tc>
          <w:tcPr>
            <w:tcW w:type="dxa" w:w="3324"/>
            <w:vAlign w:val="top"/>
          </w:tcPr>
          <w:p>
            <w:r/>
            <w:r>
              <w:rPr>
                <w:rFonts w:ascii="Calibri" w:hAnsi="Calibri"/>
                <w:b w:val="0"/>
                <w:i w:val="0"/>
                <w:color w:val="000000"/>
                <w:sz w:val="18"/>
              </w:rPr>
              <w:t>Resolve a name to canonical node ID</w:t>
            </w:r>
          </w:p>
        </w:tc>
        <w:tc>
          <w:tcPr>
            <w:tcW w:type="dxa" w:w="3324"/>
            <w:vAlign w:val="top"/>
          </w:tcPr>
          <w:p>
            <w:r/>
            <w:r>
              <w:rPr>
                <w:rFonts w:ascii="Calibri" w:hAnsi="Calibri"/>
                <w:b w:val="0"/>
                <w:i w:val="0"/>
                <w:color w:val="000000"/>
                <w:sz w:val="18"/>
              </w:rPr>
              <w:t>/auth/whoami, /node/find/{value}</w:t>
            </w:r>
          </w:p>
        </w:tc>
      </w:tr>
      <w:tr>
        <w:tc>
          <w:tcPr>
            <w:tcW w:type="dxa" w:w="3324"/>
            <w:vAlign w:val="top"/>
          </w:tcPr>
          <w:p>
            <w:r/>
            <w:r>
              <w:rPr>
                <w:rFonts w:ascii="Calibri" w:hAnsi="Calibri"/>
                <w:b w:val="0"/>
                <w:i w:val="0"/>
                <w:color w:val="000000"/>
                <w:sz w:val="18"/>
              </w:rPr>
              <w:t>fetch_by_label</w:t>
            </w:r>
          </w:p>
        </w:tc>
        <w:tc>
          <w:tcPr>
            <w:tcW w:type="dxa" w:w="3324"/>
            <w:vAlign w:val="top"/>
          </w:tcPr>
          <w:p>
            <w:r/>
            <w:r>
              <w:rPr>
                <w:rFonts w:ascii="Calibri" w:hAnsi="Calibri"/>
                <w:b w:val="0"/>
                <w:i w:val="0"/>
                <w:color w:val="000000"/>
                <w:sz w:val="18"/>
              </w:rPr>
              <w:t>List nodes by label type</w:t>
            </w:r>
          </w:p>
        </w:tc>
        <w:tc>
          <w:tcPr>
            <w:tcW w:type="dxa" w:w="3324"/>
            <w:vAlign w:val="top"/>
          </w:tcPr>
          <w:p>
            <w:r/>
            <w:r>
              <w:rPr>
                <w:rFonts w:ascii="Calibri" w:hAnsi="Calibri"/>
                <w:b w:val="0"/>
                <w:i w:val="0"/>
                <w:color w:val="000000"/>
                <w:sz w:val="18"/>
              </w:rPr>
              <w:t>/labels/{label}</w:t>
            </w:r>
          </w:p>
        </w:tc>
      </w:tr>
      <w:tr>
        <w:tc>
          <w:tcPr>
            <w:tcW w:type="dxa" w:w="3324"/>
            <w:vAlign w:val="top"/>
          </w:tcPr>
          <w:p>
            <w:r/>
            <w:r>
              <w:rPr>
                <w:rFonts w:ascii="Calibri" w:hAnsi="Calibri"/>
                <w:b w:val="0"/>
                <w:i w:val="0"/>
                <w:color w:val="000000"/>
                <w:sz w:val="18"/>
              </w:rPr>
              <w:t>fetch_similar</w:t>
            </w:r>
          </w:p>
        </w:tc>
        <w:tc>
          <w:tcPr>
            <w:tcW w:type="dxa" w:w="3324"/>
            <w:vAlign w:val="top"/>
          </w:tcPr>
          <w:p>
            <w:r/>
            <w:r>
              <w:rPr>
                <w:rFonts w:ascii="Calibri" w:hAnsi="Calibri"/>
                <w:b w:val="0"/>
                <w:i w:val="0"/>
                <w:color w:val="000000"/>
                <w:sz w:val="18"/>
              </w:rPr>
              <w:t>Find similar nodes by embedding</w:t>
            </w:r>
          </w:p>
        </w:tc>
        <w:tc>
          <w:tcPr>
            <w:tcW w:type="dxa" w:w="3324"/>
            <w:vAlign w:val="top"/>
          </w:tcPr>
          <w:p>
            <w:r/>
            <w:r>
              <w:rPr>
                <w:rFonts w:ascii="Calibri" w:hAnsi="Calibri"/>
                <w:b w:val="0"/>
                <w:i w:val="0"/>
                <w:color w:val="000000"/>
                <w:sz w:val="18"/>
              </w:rPr>
              <w:t>/similarity/{label}</w:t>
            </w:r>
          </w:p>
        </w:tc>
      </w:tr>
      <w:tr>
        <w:tc>
          <w:tcPr>
            <w:tcW w:type="dxa" w:w="3324"/>
            <w:vAlign w:val="top"/>
          </w:tcPr>
          <w:p>
            <w:r/>
            <w:r>
              <w:rPr>
                <w:rFonts w:ascii="Calibri" w:hAnsi="Calibri"/>
                <w:b w:val="0"/>
                <w:i w:val="0"/>
                <w:color w:val="000000"/>
                <w:sz w:val="18"/>
              </w:rPr>
              <w:t>lookup_node_by_value</w:t>
            </w:r>
          </w:p>
        </w:tc>
        <w:tc>
          <w:tcPr>
            <w:tcW w:type="dxa" w:w="3324"/>
            <w:vAlign w:val="top"/>
          </w:tcPr>
          <w:p>
            <w:r/>
            <w:r>
              <w:rPr>
                <w:rFonts w:ascii="Calibri" w:hAnsi="Calibri"/>
                <w:b w:val="0"/>
                <w:i w:val="0"/>
                <w:color w:val="000000"/>
                <w:sz w:val="18"/>
              </w:rPr>
              <w:t>Find a node by name (fuzzy match optional)</w:t>
            </w:r>
          </w:p>
        </w:tc>
        <w:tc>
          <w:tcPr>
            <w:tcW w:type="dxa" w:w="3324"/>
            <w:vAlign w:val="top"/>
          </w:tcPr>
          <w:p>
            <w:r/>
            <w:r>
              <w:rPr>
                <w:rFonts w:ascii="Calibri" w:hAnsi="Calibri"/>
                <w:b w:val="0"/>
                <w:i w:val="0"/>
                <w:color w:val="000000"/>
                <w:sz w:val="18"/>
              </w:rPr>
              <w:t>/node/find/{value}</w:t>
            </w:r>
          </w:p>
        </w:tc>
      </w:tr>
      <w:tr>
        <w:tc>
          <w:tcPr>
            <w:tcW w:type="dxa" w:w="3324"/>
            <w:vAlign w:val="top"/>
          </w:tcPr>
          <w:p>
            <w:r/>
            <w:r>
              <w:rPr>
                <w:rFonts w:ascii="Calibri" w:hAnsi="Calibri"/>
                <w:b w:val="0"/>
                <w:i w:val="0"/>
                <w:color w:val="000000"/>
                <w:sz w:val="18"/>
              </w:rPr>
              <w:t>fetch_node_details</w:t>
            </w:r>
          </w:p>
        </w:tc>
        <w:tc>
          <w:tcPr>
            <w:tcW w:type="dxa" w:w="3324"/>
            <w:vAlign w:val="top"/>
          </w:tcPr>
          <w:p>
            <w:r/>
            <w:r>
              <w:rPr>
                <w:rFonts w:ascii="Calibri" w:hAnsi="Calibri"/>
                <w:b w:val="0"/>
                <w:i w:val="0"/>
                <w:color w:val="000000"/>
                <w:sz w:val="18"/>
              </w:rPr>
              <w:t>Retrieve full property set for node IDs</w:t>
            </w:r>
          </w:p>
        </w:tc>
        <w:tc>
          <w:tcPr>
            <w:tcW w:type="dxa" w:w="3324"/>
            <w:vAlign w:val="top"/>
          </w:tcPr>
          <w:p>
            <w:r/>
            <w:r>
              <w:rPr>
                <w:rFonts w:ascii="Calibri" w:hAnsi="Calibri"/>
                <w:b w:val="0"/>
                <w:i w:val="0"/>
                <w:color w:val="000000"/>
                <w:sz w:val="18"/>
              </w:rPr>
              <w:t>/node/details (POST)</w:t>
            </w:r>
          </w:p>
        </w:tc>
      </w:tr>
      <w:tr>
        <w:tc>
          <w:tcPr>
            <w:tcW w:type="dxa" w:w="3324"/>
            <w:vAlign w:val="top"/>
          </w:tcPr>
          <w:p>
            <w:r/>
            <w:r>
              <w:rPr>
                <w:rFonts w:ascii="Calibri" w:hAnsi="Calibri"/>
                <w:b w:val="0"/>
                <w:i w:val="0"/>
                <w:color w:val="000000"/>
                <w:sz w:val="18"/>
              </w:rPr>
              <w:t>fetch_drug_aliases</w:t>
            </w:r>
          </w:p>
        </w:tc>
        <w:tc>
          <w:tcPr>
            <w:tcW w:type="dxa" w:w="3324"/>
            <w:vAlign w:val="top"/>
          </w:tcPr>
          <w:p>
            <w:r/>
            <w:r>
              <w:rPr>
                <w:rFonts w:ascii="Calibri" w:hAnsi="Calibri"/>
                <w:b w:val="0"/>
                <w:i w:val="0"/>
                <w:color w:val="000000"/>
                <w:sz w:val="18"/>
              </w:rPr>
              <w:t>Return all known synonyms for a drug</w:t>
            </w:r>
          </w:p>
        </w:tc>
        <w:tc>
          <w:tcPr>
            <w:tcW w:type="dxa" w:w="3324"/>
            <w:vAlign w:val="top"/>
          </w:tcPr>
          <w:p>
            <w:r/>
            <w:r>
              <w:rPr>
                <w:rFonts w:ascii="Calibri" w:hAnsi="Calibri"/>
                <w:b w:val="0"/>
                <w:i w:val="0"/>
                <w:color w:val="000000"/>
                <w:sz w:val="18"/>
              </w:rPr>
              <w:t>/drugs/aliases/{name}</w:t>
            </w:r>
          </w:p>
        </w:tc>
      </w:tr>
      <w:tr>
        <w:tc>
          <w:tcPr>
            <w:tcW w:type="dxa" w:w="3324"/>
            <w:vAlign w:val="top"/>
          </w:tcPr>
          <w:p>
            <w:r/>
            <w:r>
              <w:rPr>
                <w:rFonts w:ascii="Calibri" w:hAnsi="Calibri"/>
                <w:b w:val="0"/>
                <w:i w:val="0"/>
                <w:color w:val="000000"/>
                <w:sz w:val="18"/>
              </w:rPr>
              <w:t>fetch_facts</w:t>
            </w:r>
          </w:p>
        </w:tc>
        <w:tc>
          <w:tcPr>
            <w:tcW w:type="dxa" w:w="3324"/>
            <w:vAlign w:val="top"/>
          </w:tcPr>
          <w:p>
            <w:r/>
            <w:r>
              <w:rPr>
                <w:rFonts w:ascii="Calibri" w:hAnsi="Calibri"/>
                <w:b w:val="0"/>
                <w:i w:val="0"/>
                <w:color w:val="000000"/>
                <w:sz w:val="18"/>
              </w:rPr>
              <w:t>Extract human-readable triples from relationships</w:t>
            </w:r>
          </w:p>
        </w:tc>
        <w:tc>
          <w:tcPr>
            <w:tcW w:type="dxa" w:w="3324"/>
            <w:vAlign w:val="top"/>
          </w:tcPr>
          <w:p>
            <w:r/>
            <w:r>
              <w:rPr>
                <w:rFonts w:ascii="Calibri" w:hAnsi="Calibri"/>
                <w:b w:val="0"/>
                <w:i w:val="0"/>
                <w:color w:val="000000"/>
                <w:sz w:val="18"/>
              </w:rPr>
              <w:t>/graph/facts/start/{id}</w:t>
            </w:r>
          </w:p>
        </w:tc>
      </w:tr>
      <w:tr>
        <w:tc>
          <w:tcPr>
            <w:tcW w:type="dxa" w:w="3324"/>
            <w:vAlign w:val="top"/>
          </w:tcPr>
          <w:p>
            <w:r/>
            <w:r>
              <w:rPr>
                <w:rFonts w:ascii="Calibri" w:hAnsi="Calibri"/>
                <w:b w:val="0"/>
                <w:i w:val="0"/>
                <w:color w:val="000000"/>
                <w:sz w:val="18"/>
              </w:rPr>
              <w:t>fetch_node_relationships</w:t>
            </w:r>
          </w:p>
        </w:tc>
        <w:tc>
          <w:tcPr>
            <w:tcW w:type="dxa" w:w="3324"/>
            <w:vAlign w:val="top"/>
          </w:tcPr>
          <w:p>
            <w:r/>
            <w:r>
              <w:rPr>
                <w:rFonts w:ascii="Calibri" w:hAnsi="Calibri"/>
                <w:b w:val="0"/>
                <w:i w:val="0"/>
                <w:color w:val="000000"/>
                <w:sz w:val="18"/>
              </w:rPr>
              <w:t>Return typed edges from a node (1- or 2-hop)</w:t>
            </w:r>
          </w:p>
        </w:tc>
        <w:tc>
          <w:tcPr>
            <w:tcW w:type="dxa" w:w="3324"/>
            <w:vAlign w:val="top"/>
          </w:tcPr>
          <w:p>
            <w:r/>
            <w:r>
              <w:rPr>
                <w:rFonts w:ascii="Calibri" w:hAnsi="Calibri"/>
                <w:b w:val="0"/>
                <w:i w:val="0"/>
                <w:color w:val="000000"/>
                <w:sz w:val="18"/>
              </w:rPr>
              <w:t>/graph/relationship/start/{id}</w:t>
            </w:r>
          </w:p>
        </w:tc>
      </w:tr>
      <w:tr>
        <w:tc>
          <w:tcPr>
            <w:tcW w:type="dxa" w:w="3324"/>
            <w:vAlign w:val="top"/>
          </w:tcPr>
          <w:p>
            <w:r/>
            <w:r>
              <w:rPr>
                <w:rFonts w:ascii="Calibri" w:hAnsi="Calibri"/>
                <w:b w:val="0"/>
                <w:i w:val="0"/>
                <w:color w:val="000000"/>
                <w:sz w:val="18"/>
              </w:rPr>
              <w:t>fetch_paths</w:t>
            </w:r>
          </w:p>
        </w:tc>
        <w:tc>
          <w:tcPr>
            <w:tcW w:type="dxa" w:w="3324"/>
            <w:vAlign w:val="top"/>
          </w:tcPr>
          <w:p>
            <w:r/>
            <w:r>
              <w:rPr>
                <w:rFonts w:ascii="Calibri" w:hAnsi="Calibri"/>
                <w:b w:val="0"/>
                <w:i w:val="0"/>
                <w:color w:val="000000"/>
                <w:sz w:val="18"/>
              </w:rPr>
              <w:t>Return path(s) connecting two nodes</w:t>
            </w:r>
          </w:p>
        </w:tc>
        <w:tc>
          <w:tcPr>
            <w:tcW w:type="dxa" w:w="3324"/>
            <w:vAlign w:val="top"/>
          </w:tcPr>
          <w:p>
            <w:r/>
            <w:r>
              <w:rPr>
                <w:rFonts w:ascii="Calibri" w:hAnsi="Calibri"/>
                <w:b w:val="0"/>
                <w:i w:val="0"/>
                <w:color w:val="000000"/>
                <w:sz w:val="18"/>
              </w:rPr>
              <w:t>/graph/path/start/{id}/end/{id}</w:t>
            </w:r>
          </w:p>
        </w:tc>
      </w:tr>
      <w:tr>
        <w:tc>
          <w:tcPr>
            <w:tcW w:type="dxa" w:w="3324"/>
            <w:vAlign w:val="top"/>
          </w:tcPr>
          <w:p>
            <w:r/>
            <w:r>
              <w:rPr>
                <w:rFonts w:ascii="Calibri" w:hAnsi="Calibri"/>
                <w:b w:val="0"/>
                <w:i w:val="0"/>
                <w:color w:val="000000"/>
                <w:sz w:val="18"/>
              </w:rPr>
              <w:t>has_reachable_path</w:t>
            </w:r>
          </w:p>
        </w:tc>
        <w:tc>
          <w:tcPr>
            <w:tcW w:type="dxa" w:w="3324"/>
            <w:vAlign w:val="top"/>
          </w:tcPr>
          <w:p>
            <w:r/>
            <w:r>
              <w:rPr>
                <w:rFonts w:ascii="Calibri" w:hAnsi="Calibri"/>
                <w:b w:val="0"/>
                <w:i w:val="0"/>
                <w:color w:val="000000"/>
                <w:sz w:val="18"/>
              </w:rPr>
              <w:t>Boolean reachability check</w:t>
            </w:r>
          </w:p>
        </w:tc>
        <w:tc>
          <w:tcPr>
            <w:tcW w:type="dxa" w:w="3324"/>
            <w:vAlign w:val="top"/>
          </w:tcPr>
          <w:p>
            <w:r/>
            <w:r>
              <w:rPr>
                <w:rFonts w:ascii="Calibri" w:hAnsi="Calibri"/>
                <w:b w:val="0"/>
                <w:i w:val="0"/>
                <w:color w:val="000000"/>
                <w:sz w:val="18"/>
              </w:rPr>
              <w:t>/graph/reachability/start/{id}/end/{id}</w:t>
            </w:r>
          </w:p>
        </w:tc>
      </w:tr>
      <w:tr>
        <w:tc>
          <w:tcPr>
            <w:tcW w:type="dxa" w:w="3324"/>
            <w:vAlign w:val="top"/>
          </w:tcPr>
          <w:p>
            <w:r/>
            <w:r>
              <w:rPr>
                <w:rFonts w:ascii="Calibri" w:hAnsi="Calibri"/>
                <w:b w:val="0"/>
                <w:i w:val="0"/>
                <w:color w:val="000000"/>
                <w:sz w:val="18"/>
              </w:rPr>
              <w:t>find_organization_names</w:t>
            </w:r>
          </w:p>
        </w:tc>
        <w:tc>
          <w:tcPr>
            <w:tcW w:type="dxa" w:w="3324"/>
            <w:vAlign w:val="top"/>
          </w:tcPr>
          <w:p>
            <w:r/>
            <w:r>
              <w:rPr>
                <w:rFonts w:ascii="Calibri" w:hAnsi="Calibri"/>
                <w:b w:val="0"/>
                <w:i w:val="0"/>
                <w:color w:val="000000"/>
                <w:sz w:val="18"/>
              </w:rPr>
              <w:t>Search organisations by name, country, domain</w:t>
            </w:r>
          </w:p>
        </w:tc>
        <w:tc>
          <w:tcPr>
            <w:tcW w:type="dxa" w:w="3324"/>
            <w:vAlign w:val="top"/>
          </w:tcPr>
          <w:p>
            <w:r/>
            <w:r>
              <w:rPr>
                <w:rFonts w:ascii="Calibri" w:hAnsi="Calibri"/>
                <w:b w:val="0"/>
                <w:i w:val="0"/>
                <w:color w:val="000000"/>
                <w:sz w:val="18"/>
              </w:rPr>
              <w:t>/organizations/{pattern}</w:t>
            </w:r>
          </w:p>
        </w:tc>
      </w:tr>
      <w:tr>
        <w:tc>
          <w:tcPr>
            <w:tcW w:type="dxa" w:w="3324"/>
            <w:vAlign w:val="top"/>
          </w:tcPr>
          <w:p>
            <w:r/>
            <w:r>
              <w:rPr>
                <w:rFonts w:ascii="Calibri" w:hAnsi="Calibri"/>
                <w:b w:val="0"/>
                <w:i w:val="0"/>
                <w:color w:val="000000"/>
                <w:sz w:val="18"/>
              </w:rPr>
              <w:t>find_organization_assets</w:t>
            </w:r>
          </w:p>
        </w:tc>
        <w:tc>
          <w:tcPr>
            <w:tcW w:type="dxa" w:w="3324"/>
            <w:vAlign w:val="top"/>
          </w:tcPr>
          <w:p>
            <w:r/>
            <w:r>
              <w:rPr>
                <w:rFonts w:ascii="Calibri" w:hAnsi="Calibri"/>
                <w:b w:val="0"/>
                <w:i w:val="0"/>
                <w:color w:val="000000"/>
                <w:sz w:val="18"/>
              </w:rPr>
              <w:t>Drugs, trials, and IP for an organisation</w:t>
            </w:r>
          </w:p>
        </w:tc>
        <w:tc>
          <w:tcPr>
            <w:tcW w:type="dxa" w:w="3324"/>
            <w:vAlign w:val="top"/>
          </w:tcPr>
          <w:p>
            <w:r/>
            <w:r>
              <w:rPr>
                <w:rFonts w:ascii="Calibri" w:hAnsi="Calibri"/>
                <w:b w:val="0"/>
                <w:i w:val="0"/>
                <w:color w:val="000000"/>
                <w:sz w:val="18"/>
              </w:rPr>
              <w:t>/organizations/assets/{id}</w:t>
            </w:r>
          </w:p>
        </w:tc>
      </w:tr>
    </w:tbl>
    <w:p/>
    <w:p>
      <w:pPr>
        <w:spacing w:before="200" w:after="80"/>
        <w:outlineLvl w:val="2"/>
      </w:pPr>
      <w:r>
        <w:rPr>
          <w:rFonts w:ascii="Calibri" w:hAnsi="Calibri"/>
          <w:b/>
          <w:i w:val="0"/>
          <w:color w:val="2E6DA4"/>
          <w:sz w:val="26"/>
        </w:rPr>
        <w:t>8.4  Evaluation</w:t>
      </w:r>
    </w:p>
    <w:p>
      <w:pPr>
        <w:spacing w:after="120"/>
        <w:jc w:val="both"/>
      </w:pPr>
      <w:r>
        <w:rPr>
          <w:rFonts w:ascii="Calibri" w:hAnsi="Calibri"/>
          <w:b w:val="0"/>
          <w:i w:val="0"/>
          <w:color w:val="000000"/>
          <w:sz w:val="21"/>
        </w:rPr>
        <w:t>The MCP layer is one of the strongest design decisions in the platform. By interposing a tool surface between the agent and the underlying API, Eugene achieves audit, abstraction, and access control without compromising the agent's reasoning flexibility. The audit recognised this as a positive structural finding.</w:t>
      </w:r>
    </w:p>
    <w:p>
      <w:pPr>
        <w:spacing w:before="200" w:after="80"/>
        <w:outlineLvl w:val="2"/>
      </w:pPr>
      <w:r>
        <w:rPr>
          <w:rFonts w:ascii="Calibri" w:hAnsi="Calibri"/>
          <w:b/>
          <w:i w:val="0"/>
          <w:color w:val="2E6DA4"/>
          <w:sz w:val="26"/>
        </w:rPr>
        <w:t>8.5  Component Findings</w:t>
      </w:r>
    </w:p>
    <w:p>
      <w:pPr>
        <w:spacing w:after="120"/>
        <w:jc w:val="both"/>
      </w:pPr>
      <w:r>
        <w:rPr>
          <w:rFonts w:ascii="Calibri" w:hAnsi="Calibri"/>
          <w:b w:val="0"/>
          <w:i w:val="0"/>
          <w:color w:val="000000"/>
          <w:sz w:val="21"/>
        </w:rPr>
        <w:t>One CRITICAL finding (SEC-01) is filed against the MCP client: SSL verification is disabled (verify=False) on the httpx connection from the Agent Backend to the MCP server, exposing the in-cluster traffic to man-in-the-middle attack. The remediation is a half-day fix, addressed in Phase 1 of the recommended programme.</w:t>
      </w:r>
    </w:p>
    <w:p>
      <w:pPr>
        <w:spacing w:before="280" w:after="160"/>
        <w:outlineLvl w:val="1"/>
      </w:pPr>
      <w:r>
        <w:rPr>
          <w:rFonts w:ascii="Calibri" w:hAnsi="Calibri"/>
          <w:b/>
          <w:i w:val="0"/>
          <w:color w:val="1B3A6B"/>
          <w:sz w:val="34"/>
        </w:rPr>
        <w:t>Core API (eugene_ws)</w:t>
      </w:r>
    </w:p>
    <w:p>
      <w:pPr>
        <w:spacing w:before="200" w:after="80"/>
        <w:outlineLvl w:val="2"/>
      </w:pPr>
      <w:r>
        <w:rPr>
          <w:rFonts w:ascii="Calibri" w:hAnsi="Calibri"/>
          <w:b/>
          <w:i w:val="0"/>
          <w:color w:val="2E6DA4"/>
          <w:sz w:val="26"/>
        </w:rPr>
        <w:t>9.1  Purpose</w:t>
      </w:r>
    </w:p>
    <w:p>
      <w:pPr>
        <w:spacing w:after="120"/>
        <w:jc w:val="both"/>
      </w:pPr>
      <w:r>
        <w:rPr>
          <w:rFonts w:ascii="Calibri" w:hAnsi="Calibri"/>
          <w:b w:val="0"/>
          <w:i w:val="0"/>
          <w:color w:val="000000"/>
          <w:sz w:val="21"/>
        </w:rPr>
        <w:t>The Core API is the canonical data interface to the Eugene knowledge graph. It is a FastAPI application exposing twenty REST routers organised by biomedical domain, all backed by Cypher against a single Neo4j database.</w:t>
      </w:r>
    </w:p>
    <w:p>
      <w:pPr>
        <w:spacing w:before="200" w:after="80"/>
        <w:outlineLvl w:val="2"/>
      </w:pPr>
      <w:r>
        <w:rPr>
          <w:rFonts w:ascii="Calibri" w:hAnsi="Calibri"/>
          <w:b/>
          <w:i w:val="0"/>
          <w:color w:val="2E6DA4"/>
          <w:sz w:val="26"/>
        </w:rPr>
        <w:t>9.2  Hexagonal Layering</w:t>
      </w:r>
    </w:p>
    <w:p>
      <w:pPr>
        <w:spacing w:after="120"/>
        <w:jc w:val="both"/>
      </w:pPr>
      <w:r>
        <w:rPr>
          <w:rFonts w:ascii="Calibri" w:hAnsi="Calibri"/>
          <w:b w:val="0"/>
          <w:i w:val="0"/>
          <w:color w:val="000000"/>
          <w:sz w:val="21"/>
        </w:rPr>
        <w:t>Each request flows through a strict five-layer pipeline: Router accepts the HTTP call and validates the request body using Pydantic v2; Orchestrator (optionally) composes multiple Providers for complex workflows; Provider executes a single business operation, calling Adapter and Mapper; Mapper transforms a DataFrame into a domain model and on into a response model; Adapter constructs the parameterised Cypher query and executes it against Neo4j. Domain logic remains independent of transport and persistence.</w:t>
      </w:r>
    </w:p>
    <w:p>
      <w:pPr>
        <w:spacing w:before="200" w:after="80"/>
        <w:outlineLvl w:val="2"/>
      </w:pPr>
      <w:r>
        <w:rPr>
          <w:rFonts w:ascii="Calibri" w:hAnsi="Calibri"/>
          <w:b/>
          <w:i w:val="0"/>
          <w:color w:val="2E6DA4"/>
          <w:sz w:val="26"/>
        </w:rPr>
        <w:t>9.3  Endpoint Inventory</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Domain</w:t>
            </w:r>
          </w:p>
        </w:tc>
        <w:tc>
          <w:tcPr>
            <w:tcW w:type="dxa" w:w="4986"/>
            <w:shd w:val="clear" w:color="auto" w:fill="1B3A6B"/>
            <w:vAlign w:val="top"/>
          </w:tcPr>
          <w:p>
            <w:r/>
            <w:r>
              <w:rPr>
                <w:rFonts w:ascii="Calibri" w:hAnsi="Calibri"/>
                <w:b/>
                <w:i w:val="0"/>
                <w:color w:val="FFFFFF"/>
                <w:sz w:val="18"/>
              </w:rPr>
              <w:t>Routers</w:t>
            </w:r>
          </w:p>
        </w:tc>
      </w:tr>
      <w:tr>
        <w:tc>
          <w:tcPr>
            <w:tcW w:type="dxa" w:w="4986"/>
            <w:vAlign w:val="top"/>
          </w:tcPr>
          <w:p>
            <w:r/>
            <w:r>
              <w:rPr>
                <w:rFonts w:ascii="Calibri" w:hAnsi="Calibri"/>
                <w:b w:val="0"/>
                <w:i w:val="0"/>
                <w:color w:val="000000"/>
                <w:sz w:val="18"/>
              </w:rPr>
              <w:t>Foundation</w:t>
            </w:r>
          </w:p>
        </w:tc>
        <w:tc>
          <w:tcPr>
            <w:tcW w:type="dxa" w:w="4986"/>
            <w:vAlign w:val="top"/>
          </w:tcPr>
          <w:p>
            <w:r/>
            <w:r>
              <w:rPr>
                <w:rFonts w:ascii="Calibri" w:hAnsi="Calibri"/>
                <w:b w:val="0"/>
                <w:i w:val="0"/>
                <w:color w:val="000000"/>
                <w:sz w:val="18"/>
              </w:rPr>
              <w:t>label, n_hop, facts, node_details, count</w:t>
            </w:r>
          </w:p>
        </w:tc>
      </w:tr>
      <w:tr>
        <w:tc>
          <w:tcPr>
            <w:tcW w:type="dxa" w:w="4986"/>
            <w:vAlign w:val="top"/>
          </w:tcPr>
          <w:p>
            <w:r/>
            <w:r>
              <w:rPr>
                <w:rFonts w:ascii="Calibri" w:hAnsi="Calibri"/>
                <w:b w:val="0"/>
                <w:i w:val="0"/>
                <w:color w:val="000000"/>
                <w:sz w:val="18"/>
              </w:rPr>
              <w:t>Identity</w:t>
            </w:r>
          </w:p>
        </w:tc>
        <w:tc>
          <w:tcPr>
            <w:tcW w:type="dxa" w:w="4986"/>
            <w:vAlign w:val="top"/>
          </w:tcPr>
          <w:p>
            <w:r/>
            <w:r>
              <w:rPr>
                <w:rFonts w:ascii="Calibri" w:hAnsi="Calibri"/>
                <w:b w:val="0"/>
                <w:i w:val="0"/>
                <w:color w:val="000000"/>
                <w:sz w:val="18"/>
              </w:rPr>
              <w:t>node_id_lookup, similarity, facet</w:t>
            </w:r>
          </w:p>
        </w:tc>
      </w:tr>
      <w:tr>
        <w:tc>
          <w:tcPr>
            <w:tcW w:type="dxa" w:w="4986"/>
            <w:vAlign w:val="top"/>
          </w:tcPr>
          <w:p>
            <w:r/>
            <w:r>
              <w:rPr>
                <w:rFonts w:ascii="Calibri" w:hAnsi="Calibri"/>
                <w:b w:val="0"/>
                <w:i w:val="0"/>
                <w:color w:val="000000"/>
                <w:sz w:val="18"/>
              </w:rPr>
              <w:t>Drug</w:t>
            </w:r>
          </w:p>
        </w:tc>
        <w:tc>
          <w:tcPr>
            <w:tcW w:type="dxa" w:w="4986"/>
            <w:vAlign w:val="top"/>
          </w:tcPr>
          <w:p>
            <w:r/>
            <w:r>
              <w:rPr>
                <w:rFonts w:ascii="Calibri" w:hAnsi="Calibri"/>
                <w:b w:val="0"/>
                <w:i w:val="0"/>
                <w:color w:val="000000"/>
                <w:sz w:val="18"/>
              </w:rPr>
              <w:t>drug_alias_search</w:t>
            </w:r>
          </w:p>
        </w:tc>
      </w:tr>
      <w:tr>
        <w:tc>
          <w:tcPr>
            <w:tcW w:type="dxa" w:w="4986"/>
            <w:vAlign w:val="top"/>
          </w:tcPr>
          <w:p>
            <w:r/>
            <w:r>
              <w:rPr>
                <w:rFonts w:ascii="Calibri" w:hAnsi="Calibri"/>
                <w:b w:val="0"/>
                <w:i w:val="0"/>
                <w:color w:val="000000"/>
                <w:sz w:val="18"/>
              </w:rPr>
              <w:t>Organisation</w:t>
            </w:r>
          </w:p>
        </w:tc>
        <w:tc>
          <w:tcPr>
            <w:tcW w:type="dxa" w:w="4986"/>
            <w:vAlign w:val="top"/>
          </w:tcPr>
          <w:p>
            <w:r/>
            <w:r>
              <w:rPr>
                <w:rFonts w:ascii="Calibri" w:hAnsi="Calibri"/>
                <w:b w:val="0"/>
                <w:i w:val="0"/>
                <w:color w:val="000000"/>
                <w:sz w:val="18"/>
              </w:rPr>
              <w:t>organization_search</w:t>
            </w:r>
          </w:p>
        </w:tc>
      </w:tr>
      <w:tr>
        <w:tc>
          <w:tcPr>
            <w:tcW w:type="dxa" w:w="4986"/>
            <w:vAlign w:val="top"/>
          </w:tcPr>
          <w:p>
            <w:r/>
            <w:r>
              <w:rPr>
                <w:rFonts w:ascii="Calibri" w:hAnsi="Calibri"/>
                <w:b w:val="0"/>
                <w:i w:val="0"/>
                <w:color w:val="000000"/>
                <w:sz w:val="18"/>
              </w:rPr>
              <w:t>Patent</w:t>
            </w:r>
          </w:p>
        </w:tc>
        <w:tc>
          <w:tcPr>
            <w:tcW w:type="dxa" w:w="4986"/>
            <w:vAlign w:val="top"/>
          </w:tcPr>
          <w:p>
            <w:r/>
            <w:r>
              <w:rPr>
                <w:rFonts w:ascii="Calibri" w:hAnsi="Calibri"/>
                <w:b w:val="0"/>
                <w:i w:val="0"/>
                <w:color w:val="000000"/>
                <w:sz w:val="18"/>
              </w:rPr>
              <w:t>patent_search, patent_count</w:t>
            </w:r>
          </w:p>
        </w:tc>
      </w:tr>
      <w:tr>
        <w:tc>
          <w:tcPr>
            <w:tcW w:type="dxa" w:w="4986"/>
            <w:vAlign w:val="top"/>
          </w:tcPr>
          <w:p>
            <w:r/>
            <w:r>
              <w:rPr>
                <w:rFonts w:ascii="Calibri" w:hAnsi="Calibri"/>
                <w:b w:val="0"/>
                <w:i w:val="0"/>
                <w:color w:val="000000"/>
                <w:sz w:val="18"/>
              </w:rPr>
              <w:t>PubMed</w:t>
            </w:r>
          </w:p>
        </w:tc>
        <w:tc>
          <w:tcPr>
            <w:tcW w:type="dxa" w:w="4986"/>
            <w:vAlign w:val="top"/>
          </w:tcPr>
          <w:p>
            <w:r/>
            <w:r>
              <w:rPr>
                <w:rFonts w:ascii="Calibri" w:hAnsi="Calibri"/>
                <w:b w:val="0"/>
                <w:i w:val="0"/>
                <w:color w:val="000000"/>
                <w:sz w:val="18"/>
              </w:rPr>
              <w:t>pubmed_search, pubmed_count</w:t>
            </w:r>
          </w:p>
        </w:tc>
      </w:tr>
      <w:tr>
        <w:tc>
          <w:tcPr>
            <w:tcW w:type="dxa" w:w="4986"/>
            <w:vAlign w:val="top"/>
          </w:tcPr>
          <w:p>
            <w:r/>
            <w:r>
              <w:rPr>
                <w:rFonts w:ascii="Calibri" w:hAnsi="Calibri"/>
                <w:b w:val="0"/>
                <w:i w:val="0"/>
                <w:color w:val="000000"/>
                <w:sz w:val="18"/>
              </w:rPr>
              <w:t>Path / Graph</w:t>
            </w:r>
          </w:p>
        </w:tc>
        <w:tc>
          <w:tcPr>
            <w:tcW w:type="dxa" w:w="4986"/>
            <w:vAlign w:val="top"/>
          </w:tcPr>
          <w:p>
            <w:r/>
            <w:r>
              <w:rPr>
                <w:rFonts w:ascii="Calibri" w:hAnsi="Calibri"/>
                <w:b w:val="0"/>
                <w:i w:val="0"/>
                <w:color w:val="000000"/>
                <w:sz w:val="18"/>
              </w:rPr>
              <w:t>search_path, n_hop</w:t>
            </w:r>
          </w:p>
        </w:tc>
      </w:tr>
      <w:tr>
        <w:tc>
          <w:tcPr>
            <w:tcW w:type="dxa" w:w="4986"/>
            <w:vAlign w:val="top"/>
          </w:tcPr>
          <w:p>
            <w:r/>
            <w:r>
              <w:rPr>
                <w:rFonts w:ascii="Calibri" w:hAnsi="Calibri"/>
                <w:b w:val="0"/>
                <w:i w:val="0"/>
                <w:color w:val="000000"/>
                <w:sz w:val="18"/>
              </w:rPr>
              <w:t>Stats</w:t>
            </w:r>
          </w:p>
        </w:tc>
        <w:tc>
          <w:tcPr>
            <w:tcW w:type="dxa" w:w="4986"/>
            <w:vAlign w:val="top"/>
          </w:tcPr>
          <w:p>
            <w:r/>
            <w:r>
              <w:rPr>
                <w:rFonts w:ascii="Calibri" w:hAnsi="Calibri"/>
                <w:b w:val="0"/>
                <w:i w:val="0"/>
                <w:color w:val="000000"/>
                <w:sz w:val="18"/>
              </w:rPr>
              <w:t>database_stats</w:t>
            </w:r>
          </w:p>
        </w:tc>
      </w:tr>
      <w:tr>
        <w:tc>
          <w:tcPr>
            <w:tcW w:type="dxa" w:w="4986"/>
            <w:vAlign w:val="top"/>
          </w:tcPr>
          <w:p>
            <w:r/>
            <w:r>
              <w:rPr>
                <w:rFonts w:ascii="Calibri" w:hAnsi="Calibri"/>
                <w:b w:val="0"/>
                <w:i w:val="0"/>
                <w:color w:val="000000"/>
                <w:sz w:val="18"/>
              </w:rPr>
              <w:t>Auth &amp; system</w:t>
            </w:r>
          </w:p>
        </w:tc>
        <w:tc>
          <w:tcPr>
            <w:tcW w:type="dxa" w:w="4986"/>
            <w:vAlign w:val="top"/>
          </w:tcPr>
          <w:p>
            <w:r/>
            <w:r>
              <w:rPr>
                <w:rFonts w:ascii="Calibri" w:hAnsi="Calibri"/>
                <w:b w:val="0"/>
                <w:i w:val="0"/>
                <w:color w:val="000000"/>
                <w:sz w:val="18"/>
              </w:rPr>
              <w:t>auth, root, health, release_notes</w:t>
            </w:r>
          </w:p>
        </w:tc>
      </w:tr>
    </w:tbl>
    <w:p/>
    <w:p>
      <w:pPr>
        <w:spacing w:before="200" w:after="80"/>
        <w:outlineLvl w:val="2"/>
      </w:pPr>
      <w:r>
        <w:rPr>
          <w:rFonts w:ascii="Calibri" w:hAnsi="Calibri"/>
          <w:b/>
          <w:i w:val="0"/>
          <w:color w:val="2E6DA4"/>
          <w:sz w:val="26"/>
        </w:rPr>
        <w:t>9.4  Cypher Discipline</w:t>
      </w:r>
    </w:p>
    <w:p>
      <w:pPr>
        <w:spacing w:after="120"/>
        <w:jc w:val="both"/>
      </w:pPr>
      <w:r>
        <w:rPr>
          <w:rFonts w:ascii="Calibri" w:hAnsi="Calibri"/>
          <w:b w:val="0"/>
          <w:i w:val="0"/>
          <w:color w:val="000000"/>
          <w:sz w:val="21"/>
        </w:rPr>
        <w:t>All twenty routers use parameterised Cypher with $variable binding; no string interpolation appears anywhere in the source. The MAX_SUPPORTED_HOPS constant, set to two, is enforced inside the n-hop adapter and prevents the graph fan-out that would otherwise occur at depth three or greater. The audit recognised this discipline as a structural strength.</w:t>
      </w:r>
    </w:p>
    <w:p>
      <w:pPr>
        <w:spacing w:before="200" w:after="80"/>
        <w:outlineLvl w:val="2"/>
      </w:pPr>
      <w:r>
        <w:rPr>
          <w:rFonts w:ascii="Calibri" w:hAnsi="Calibri"/>
          <w:b/>
          <w:i w:val="0"/>
          <w:color w:val="2E6DA4"/>
          <w:sz w:val="26"/>
        </w:rPr>
        <w:t>9.5  Evaluation</w:t>
      </w:r>
    </w:p>
    <w:p>
      <w:pPr>
        <w:spacing w:after="120"/>
        <w:jc w:val="both"/>
      </w:pPr>
      <w:r>
        <w:rPr>
          <w:rFonts w:ascii="Calibri" w:hAnsi="Calibri"/>
          <w:b w:val="0"/>
          <w:i w:val="0"/>
          <w:color w:val="000000"/>
          <w:sz w:val="21"/>
        </w:rPr>
        <w:t>The Core API is the most mature element of the platform. Twenty endpoints, all schema-validated, all documented through Swagger at /docs, all backed by parameterised Cypher. The DDD/hexagonal architecture has paid dividends in testability and consistency.</w:t>
      </w:r>
    </w:p>
    <w:p>
      <w:pPr>
        <w:spacing w:before="200" w:after="80"/>
        <w:outlineLvl w:val="2"/>
      </w:pPr>
      <w:r>
        <w:rPr>
          <w:rFonts w:ascii="Calibri" w:hAnsi="Calibri"/>
          <w:b/>
          <w:i w:val="0"/>
          <w:color w:val="2E6DA4"/>
          <w:sz w:val="26"/>
        </w:rPr>
        <w:t>9.6  Component Findings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Finding</w:t>
            </w:r>
          </w:p>
        </w:tc>
        <w:tc>
          <w:tcPr>
            <w:tcW w:type="dxa" w:w="3324"/>
            <w:shd w:val="clear" w:color="auto" w:fill="1B3A6B"/>
            <w:vAlign w:val="top"/>
          </w:tcPr>
          <w:p>
            <w:r/>
            <w:r>
              <w:rPr>
                <w:rFonts w:ascii="Calibri" w:hAnsi="Calibri"/>
                <w:b/>
                <w:i w:val="0"/>
                <w:color w:val="FFFFFF"/>
                <w:sz w:val="18"/>
              </w:rPr>
              <w:t>Severity</w:t>
            </w:r>
          </w:p>
        </w:tc>
        <w:tc>
          <w:tcPr>
            <w:tcW w:type="dxa" w:w="3324"/>
            <w:shd w:val="clear" w:color="auto" w:fill="1B3A6B"/>
            <w:vAlign w:val="top"/>
          </w:tcPr>
          <w:p>
            <w:r/>
            <w:r>
              <w:rPr>
                <w:rFonts w:ascii="Calibri" w:hAnsi="Calibri"/>
                <w:b/>
                <w:i w:val="0"/>
                <w:color w:val="FFFFFF"/>
                <w:sz w:val="18"/>
              </w:rPr>
              <w:t>Description</w:t>
            </w:r>
          </w:p>
        </w:tc>
      </w:tr>
      <w:tr>
        <w:tc>
          <w:tcPr>
            <w:tcW w:type="dxa" w:w="3324"/>
            <w:vAlign w:val="top"/>
          </w:tcPr>
          <w:p>
            <w:r/>
            <w:r>
              <w:rPr>
                <w:rFonts w:ascii="Calibri" w:hAnsi="Calibri"/>
                <w:b w:val="0"/>
                <w:i w:val="0"/>
                <w:color w:val="000000"/>
                <w:sz w:val="18"/>
              </w:rPr>
              <w:t>DB-01</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No Neo4j query timeout — slow queries block adapter threads indefinitely.</w:t>
            </w:r>
          </w:p>
        </w:tc>
      </w:tr>
      <w:tr>
        <w:tc>
          <w:tcPr>
            <w:tcW w:type="dxa" w:w="3324"/>
            <w:vAlign w:val="top"/>
          </w:tcPr>
          <w:p>
            <w:r/>
            <w:r>
              <w:rPr>
                <w:rFonts w:ascii="Calibri" w:hAnsi="Calibri"/>
                <w:b w:val="0"/>
                <w:i w:val="0"/>
                <w:color w:val="000000"/>
                <w:sz w:val="18"/>
              </w:rPr>
              <w:t>DB-02</w:t>
            </w:r>
          </w:p>
        </w:tc>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No explicit connection-pool sizing; defaults limit concurrent throughput.</w:t>
            </w:r>
          </w:p>
        </w:tc>
      </w:tr>
      <w:tr>
        <w:tc>
          <w:tcPr>
            <w:tcW w:type="dxa" w:w="3324"/>
            <w:vAlign w:val="top"/>
          </w:tcPr>
          <w:p>
            <w:r/>
            <w:r>
              <w:rPr>
                <w:rFonts w:ascii="Calibri" w:hAnsi="Calibri"/>
                <w:b w:val="0"/>
                <w:i w:val="0"/>
                <w:color w:val="000000"/>
                <w:sz w:val="18"/>
              </w:rPr>
              <w:t>DB-03</w:t>
            </w:r>
          </w:p>
        </w:tc>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Deep pagination has no offset cap; very large OFFSET values induce slow scans.</w:t>
            </w:r>
          </w:p>
        </w:tc>
      </w:tr>
      <w:tr>
        <w:tc>
          <w:tcPr>
            <w:tcW w:type="dxa" w:w="3324"/>
            <w:vAlign w:val="top"/>
          </w:tcPr>
          <w:p>
            <w:r/>
            <w:r>
              <w:rPr>
                <w:rFonts w:ascii="Calibri" w:hAnsi="Calibri"/>
                <w:b w:val="0"/>
                <w:i w:val="0"/>
                <w:color w:val="000000"/>
                <w:sz w:val="18"/>
              </w:rPr>
              <w:t>SEC-02</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Allowlist raises generic Exception (HTTP 500) instead of HTTPException 403.</w:t>
            </w:r>
          </w:p>
        </w:tc>
      </w:tr>
      <w:tr>
        <w:tc>
          <w:tcPr>
            <w:tcW w:type="dxa" w:w="3324"/>
            <w:vAlign w:val="top"/>
          </w:tcPr>
          <w:p>
            <w:r/>
            <w:r>
              <w:rPr>
                <w:rFonts w:ascii="Calibri" w:hAnsi="Calibri"/>
                <w:b w:val="0"/>
                <w:i w:val="0"/>
                <w:color w:val="000000"/>
                <w:sz w:val="18"/>
              </w:rPr>
              <w:t>SEC-03</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No rate limiting on any endpoint; cost and DoS exposure.</w:t>
            </w:r>
          </w:p>
        </w:tc>
      </w:tr>
    </w:tbl>
    <w:p/>
    <w:p>
      <w:pPr>
        <w:spacing w:before="280" w:after="160"/>
        <w:outlineLvl w:val="1"/>
      </w:pPr>
      <w:r>
        <w:rPr>
          <w:rFonts w:ascii="Calibri" w:hAnsi="Calibri"/>
          <w:b/>
          <w:i w:val="0"/>
          <w:color w:val="1B3A6B"/>
          <w:sz w:val="34"/>
        </w:rPr>
        <w:t>Neo4j Layer</w:t>
      </w:r>
    </w:p>
    <w:p>
      <w:pPr>
        <w:spacing w:before="200" w:after="80"/>
        <w:outlineLvl w:val="2"/>
      </w:pPr>
      <w:r>
        <w:rPr>
          <w:rFonts w:ascii="Calibri" w:hAnsi="Calibri"/>
          <w:b/>
          <w:i w:val="0"/>
          <w:color w:val="2E6DA4"/>
          <w:sz w:val="26"/>
        </w:rPr>
        <w:t>10.1  Purpose</w:t>
      </w:r>
    </w:p>
    <w:p>
      <w:pPr>
        <w:spacing w:after="120"/>
        <w:jc w:val="both"/>
      </w:pPr>
      <w:r>
        <w:rPr>
          <w:rFonts w:ascii="Calibri" w:hAnsi="Calibri"/>
          <w:b w:val="0"/>
          <w:i w:val="0"/>
          <w:color w:val="000000"/>
          <w:sz w:val="21"/>
        </w:rPr>
        <w:t>Neo4j is the canonical persistence for Eugene. It holds approximately 484,000 nodes across nine labels and approximately twenty-one million typed, directed edges. Cypher is the only query language used; APOC and GDS plugins are bundled for path analysis, similarity, and bulk import.</w:t>
      </w:r>
    </w:p>
    <w:p>
      <w:pPr>
        <w:spacing w:before="200" w:after="80"/>
        <w:outlineLvl w:val="2"/>
      </w:pPr>
      <w:r>
        <w:rPr>
          <w:rFonts w:ascii="Calibri" w:hAnsi="Calibri"/>
          <w:b/>
          <w:i w:val="0"/>
          <w:color w:val="2E6DA4"/>
          <w:sz w:val="26"/>
        </w:rPr>
        <w:t>10.2  Memory Tuning by Environment</w:t>
      </w:r>
    </w:p>
    <w:tbl>
      <w:tblPr>
        <w:tblStyle w:val="LightGrid-Accent1"/>
        <w:tblW w:type="auto" w:w="0"/>
        <w:jc w:val="center"/>
        <w:tblLook w:firstColumn="1" w:firstRow="1" w:lastColumn="0" w:lastRow="0" w:noHBand="0" w:noVBand="1" w:val="04A0"/>
      </w:tblPr>
      <w:tblGrid>
        <w:gridCol w:w="2493"/>
        <w:gridCol w:w="2493"/>
        <w:gridCol w:w="2493"/>
        <w:gridCol w:w="2493"/>
      </w:tblGrid>
      <w:tr>
        <w:tc>
          <w:tcPr>
            <w:tcW w:type="dxa" w:w="2493"/>
            <w:shd w:val="clear" w:color="auto" w:fill="1B3A6B"/>
            <w:vAlign w:val="top"/>
          </w:tcPr>
          <w:p>
            <w:r/>
            <w:r>
              <w:rPr>
                <w:rFonts w:ascii="Calibri" w:hAnsi="Calibri"/>
                <w:b/>
                <w:i w:val="0"/>
                <w:color w:val="FFFFFF"/>
                <w:sz w:val="18"/>
              </w:rPr>
              <w:t>Environment</w:t>
            </w:r>
          </w:p>
        </w:tc>
        <w:tc>
          <w:tcPr>
            <w:tcW w:type="dxa" w:w="2493"/>
            <w:shd w:val="clear" w:color="auto" w:fill="1B3A6B"/>
            <w:vAlign w:val="top"/>
          </w:tcPr>
          <w:p>
            <w:r/>
            <w:r>
              <w:rPr>
                <w:rFonts w:ascii="Calibri" w:hAnsi="Calibri"/>
                <w:b/>
                <w:i w:val="0"/>
                <w:color w:val="FFFFFF"/>
                <w:sz w:val="18"/>
              </w:rPr>
              <w:t>Pagecache</w:t>
            </w:r>
          </w:p>
        </w:tc>
        <w:tc>
          <w:tcPr>
            <w:tcW w:type="dxa" w:w="2493"/>
            <w:shd w:val="clear" w:color="auto" w:fill="1B3A6B"/>
            <w:vAlign w:val="top"/>
          </w:tcPr>
          <w:p>
            <w:r/>
            <w:r>
              <w:rPr>
                <w:rFonts w:ascii="Calibri" w:hAnsi="Calibri"/>
                <w:b/>
                <w:i w:val="0"/>
                <w:color w:val="FFFFFF"/>
                <w:sz w:val="18"/>
              </w:rPr>
              <w:t>Heap initial</w:t>
            </w:r>
          </w:p>
        </w:tc>
        <w:tc>
          <w:tcPr>
            <w:tcW w:type="dxa" w:w="2493"/>
            <w:shd w:val="clear" w:color="auto" w:fill="1B3A6B"/>
            <w:vAlign w:val="top"/>
          </w:tcPr>
          <w:p>
            <w:r/>
            <w:r>
              <w:rPr>
                <w:rFonts w:ascii="Calibri" w:hAnsi="Calibri"/>
                <w:b/>
                <w:i w:val="0"/>
                <w:color w:val="FFFFFF"/>
                <w:sz w:val="18"/>
              </w:rPr>
              <w:t>Heap max</w:t>
            </w:r>
          </w:p>
        </w:tc>
      </w:tr>
      <w:tr>
        <w:tc>
          <w:tcPr>
            <w:tcW w:type="dxa" w:w="2493"/>
            <w:vAlign w:val="top"/>
          </w:tcPr>
          <w:p>
            <w:r/>
            <w:r>
              <w:rPr>
                <w:rFonts w:ascii="Calibri" w:hAnsi="Calibri"/>
                <w:b w:val="0"/>
                <w:i w:val="0"/>
                <w:color w:val="000000"/>
                <w:sz w:val="18"/>
              </w:rPr>
              <w:t>Local (Docker)</w:t>
            </w:r>
          </w:p>
        </w:tc>
        <w:tc>
          <w:tcPr>
            <w:tcW w:type="dxa" w:w="2493"/>
            <w:vAlign w:val="top"/>
          </w:tcPr>
          <w:p>
            <w:r/>
            <w:r>
              <w:rPr>
                <w:rFonts w:ascii="Calibri" w:hAnsi="Calibri"/>
                <w:b w:val="0"/>
                <w:i w:val="0"/>
                <w:color w:val="000000"/>
                <w:sz w:val="18"/>
              </w:rPr>
              <w:t>512 MB</w:t>
            </w:r>
          </w:p>
        </w:tc>
        <w:tc>
          <w:tcPr>
            <w:tcW w:type="dxa" w:w="2493"/>
            <w:vAlign w:val="top"/>
          </w:tcPr>
          <w:p>
            <w:r/>
            <w:r>
              <w:rPr>
                <w:rFonts w:ascii="Calibri" w:hAnsi="Calibri"/>
                <w:b w:val="0"/>
                <w:i w:val="0"/>
                <w:color w:val="000000"/>
                <w:sz w:val="18"/>
              </w:rPr>
              <w:t>512 MB</w:t>
            </w:r>
          </w:p>
        </w:tc>
        <w:tc>
          <w:tcPr>
            <w:tcW w:type="dxa" w:w="2493"/>
            <w:vAlign w:val="top"/>
          </w:tcPr>
          <w:p>
            <w:r/>
            <w:r>
              <w:rPr>
                <w:rFonts w:ascii="Calibri" w:hAnsi="Calibri"/>
                <w:b w:val="0"/>
                <w:i w:val="0"/>
                <w:color w:val="000000"/>
                <w:sz w:val="18"/>
              </w:rPr>
              <w:t>1 GB</w:t>
            </w:r>
          </w:p>
        </w:tc>
      </w:tr>
      <w:tr>
        <w:tc>
          <w:tcPr>
            <w:tcW w:type="dxa" w:w="2493"/>
            <w:vAlign w:val="top"/>
          </w:tcPr>
          <w:p>
            <w:r/>
            <w:r>
              <w:rPr>
                <w:rFonts w:ascii="Calibri" w:hAnsi="Calibri"/>
                <w:b w:val="0"/>
                <w:i w:val="0"/>
                <w:color w:val="000000"/>
                <w:sz w:val="18"/>
              </w:rPr>
              <w:t>Development (AWS)</w:t>
            </w:r>
          </w:p>
        </w:tc>
        <w:tc>
          <w:tcPr>
            <w:tcW w:type="dxa" w:w="2493"/>
            <w:vAlign w:val="top"/>
          </w:tcPr>
          <w:p>
            <w:r/>
            <w:r>
              <w:rPr>
                <w:rFonts w:ascii="Calibri" w:hAnsi="Calibri"/>
                <w:b w:val="0"/>
                <w:i w:val="0"/>
                <w:color w:val="000000"/>
                <w:sz w:val="18"/>
              </w:rPr>
              <w:t>4 GB</w:t>
            </w:r>
          </w:p>
        </w:tc>
        <w:tc>
          <w:tcPr>
            <w:tcW w:type="dxa" w:w="2493"/>
            <w:vAlign w:val="top"/>
          </w:tcPr>
          <w:p>
            <w:r/>
            <w:r>
              <w:rPr>
                <w:rFonts w:ascii="Calibri" w:hAnsi="Calibri"/>
                <w:b w:val="0"/>
                <w:i w:val="0"/>
                <w:color w:val="000000"/>
                <w:sz w:val="18"/>
              </w:rPr>
              <w:t>2 GB</w:t>
            </w:r>
          </w:p>
        </w:tc>
        <w:tc>
          <w:tcPr>
            <w:tcW w:type="dxa" w:w="2493"/>
            <w:vAlign w:val="top"/>
          </w:tcPr>
          <w:p>
            <w:r/>
            <w:r>
              <w:rPr>
                <w:rFonts w:ascii="Calibri" w:hAnsi="Calibri"/>
                <w:b w:val="0"/>
                <w:i w:val="0"/>
                <w:color w:val="000000"/>
                <w:sz w:val="18"/>
              </w:rPr>
              <w:t>4 GB</w:t>
            </w:r>
          </w:p>
        </w:tc>
      </w:tr>
      <w:tr>
        <w:tc>
          <w:tcPr>
            <w:tcW w:type="dxa" w:w="2493"/>
            <w:vAlign w:val="top"/>
          </w:tcPr>
          <w:p>
            <w:r/>
            <w:r>
              <w:rPr>
                <w:rFonts w:ascii="Calibri" w:hAnsi="Calibri"/>
                <w:b w:val="0"/>
                <w:i w:val="0"/>
                <w:color w:val="000000"/>
                <w:sz w:val="18"/>
              </w:rPr>
              <w:t>Production (AWS)</w:t>
            </w:r>
          </w:p>
        </w:tc>
        <w:tc>
          <w:tcPr>
            <w:tcW w:type="dxa" w:w="2493"/>
            <w:vAlign w:val="top"/>
          </w:tcPr>
          <w:p>
            <w:r/>
            <w:r>
              <w:rPr>
                <w:rFonts w:ascii="Calibri" w:hAnsi="Calibri"/>
                <w:b w:val="0"/>
                <w:i w:val="0"/>
                <w:color w:val="000000"/>
                <w:sz w:val="18"/>
              </w:rPr>
              <w:t>16 GB</w:t>
            </w:r>
          </w:p>
        </w:tc>
        <w:tc>
          <w:tcPr>
            <w:tcW w:type="dxa" w:w="2493"/>
            <w:vAlign w:val="top"/>
          </w:tcPr>
          <w:p>
            <w:r/>
            <w:r>
              <w:rPr>
                <w:rFonts w:ascii="Calibri" w:hAnsi="Calibri"/>
                <w:b w:val="0"/>
                <w:i w:val="0"/>
                <w:color w:val="000000"/>
                <w:sz w:val="18"/>
              </w:rPr>
              <w:t>4 GB</w:t>
            </w:r>
          </w:p>
        </w:tc>
        <w:tc>
          <w:tcPr>
            <w:tcW w:type="dxa" w:w="2493"/>
            <w:vAlign w:val="top"/>
          </w:tcPr>
          <w:p>
            <w:r/>
            <w:r>
              <w:rPr>
                <w:rFonts w:ascii="Calibri" w:hAnsi="Calibri"/>
                <w:b w:val="0"/>
                <w:i w:val="0"/>
                <w:color w:val="000000"/>
                <w:sz w:val="18"/>
              </w:rPr>
              <w:t>8 GB</w:t>
            </w:r>
          </w:p>
        </w:tc>
      </w:tr>
    </w:tbl>
    <w:p/>
    <w:p>
      <w:pPr>
        <w:spacing w:before="200" w:after="80"/>
        <w:outlineLvl w:val="2"/>
      </w:pPr>
      <w:r>
        <w:rPr>
          <w:rFonts w:ascii="Calibri" w:hAnsi="Calibri"/>
          <w:b/>
          <w:i w:val="0"/>
          <w:color w:val="2E6DA4"/>
          <w:sz w:val="26"/>
        </w:rPr>
        <w:t>10.3  Schema Recap</w:t>
      </w:r>
    </w:p>
    <w:p>
      <w:pPr>
        <w:spacing w:after="120"/>
        <w:jc w:val="both"/>
      </w:pPr>
      <w:r>
        <w:rPr>
          <w:rFonts w:ascii="Calibri" w:hAnsi="Calibri"/>
          <w:b w:val="0"/>
          <w:i w:val="0"/>
          <w:color w:val="000000"/>
          <w:sz w:val="21"/>
        </w:rPr>
        <w:t>The graph carries nine principal node labels — Drug, Disease, GeneProtein, ClinicalTrial, Patent, Organization, Publication, Annotation, and Therapeutic Area. The principal relationship types are TARGETS, INDICATES, ASSOCIATED_WITH, OWNS_PATENT_ON, CONDUCTED_BY, STUDIES, PUBLISHED_IN, SYNONYM_OF, and PARENT_OF. The full data table is reproduced in Appendix C.</w:t>
      </w:r>
    </w:p>
    <w:p>
      <w:pPr>
        <w:spacing w:before="200" w:after="80"/>
        <w:outlineLvl w:val="2"/>
      </w:pPr>
      <w:r>
        <w:rPr>
          <w:rFonts w:ascii="Calibri" w:hAnsi="Calibri"/>
          <w:b/>
          <w:i w:val="0"/>
          <w:color w:val="2E6DA4"/>
          <w:sz w:val="26"/>
        </w:rPr>
        <w:t>10.4  Evaluation</w:t>
      </w:r>
    </w:p>
    <w:p>
      <w:pPr>
        <w:spacing w:after="120"/>
        <w:jc w:val="both"/>
      </w:pPr>
      <w:r>
        <w:rPr>
          <w:rFonts w:ascii="Calibri" w:hAnsi="Calibri"/>
          <w:b w:val="0"/>
          <w:i w:val="0"/>
          <w:color w:val="000000"/>
          <w:sz w:val="21"/>
        </w:rPr>
        <w:t>Neo4j is the right tool for this workload — relationship-rich biomedical data with multi-hop queries that map cleanly onto Cypher's pattern syntax. The MAX_SUPPORTED_HOPS=2 cap is a pragmatic guard against fan-out and should be preserved. The Community Edition limits available index types and clustering modes; promotion to Enterprise is not currently planned but should be evaluated as the user base expands.</w:t>
      </w:r>
    </w:p>
    <w:p>
      <w:pPr>
        <w:spacing w:before="200" w:after="80"/>
        <w:outlineLvl w:val="2"/>
      </w:pPr>
      <w:r>
        <w:rPr>
          <w:rFonts w:ascii="Calibri" w:hAnsi="Calibri"/>
          <w:b/>
          <w:i w:val="0"/>
          <w:color w:val="2E6DA4"/>
          <w:sz w:val="26"/>
        </w:rPr>
        <w:t>10.5  Operational Issues</w:t>
      </w:r>
    </w:p>
    <w:p>
      <w:pPr>
        <w:pStyle w:val="ListBullet"/>
        <w:spacing w:after="40"/>
      </w:pPr>
      <w:r>
        <w:rPr>
          <w:rFonts w:ascii="Calibri" w:hAnsi="Calibri"/>
          <w:b w:val="0"/>
          <w:i w:val="0"/>
          <w:sz w:val="21"/>
        </w:rPr>
        <w:t>Neo4j on production is provisioned manually on EC2; it is not yet automated through Terraform.</w:t>
      </w:r>
    </w:p>
    <w:p>
      <w:pPr>
        <w:pStyle w:val="ListBullet"/>
        <w:spacing w:after="40"/>
      </w:pPr>
      <w:r>
        <w:rPr>
          <w:rFonts w:ascii="Calibri" w:hAnsi="Calibri"/>
          <w:b w:val="0"/>
          <w:i w:val="0"/>
          <w:sz w:val="21"/>
        </w:rPr>
        <w:t>Neo4j SSL certificate rotation is a manual operational step.</w:t>
      </w:r>
    </w:p>
    <w:p>
      <w:pPr>
        <w:pStyle w:val="ListBullet"/>
        <w:spacing w:after="40"/>
      </w:pPr>
      <w:r>
        <w:rPr>
          <w:rFonts w:ascii="Calibri" w:hAnsi="Calibri"/>
          <w:b w:val="0"/>
          <w:i w:val="0"/>
          <w:sz w:val="21"/>
        </w:rPr>
        <w:t>There is no automated S3 snapshot policy; documented as risk TR-07.</w:t>
      </w:r>
    </w:p>
    <w:p>
      <w:pPr>
        <w:pStyle w:val="ListBullet"/>
        <w:spacing w:after="40"/>
      </w:pPr>
      <w:r>
        <w:rPr>
          <w:rFonts w:ascii="Calibri" w:hAnsi="Calibri"/>
          <w:b w:val="0"/>
          <w:i w:val="0"/>
          <w:sz w:val="21"/>
        </w:rPr>
        <w:t>Heavy analytics queries can occasionally provoke an instance restart; documented in the maintenance runbook.</w:t>
      </w:r>
    </w:p>
    <w:p>
      <w:pPr>
        <w:spacing w:before="280" w:after="160"/>
        <w:outlineLvl w:val="1"/>
      </w:pPr>
      <w:r>
        <w:rPr>
          <w:rFonts w:ascii="Calibri" w:hAnsi="Calibri"/>
          <w:b/>
          <w:i w:val="0"/>
          <w:color w:val="1B3A6B"/>
          <w:sz w:val="34"/>
        </w:rPr>
        <w:t>Data Ingestion and GraphRAG</w:t>
      </w:r>
    </w:p>
    <w:p>
      <w:pPr>
        <w:spacing w:before="200" w:after="80"/>
        <w:outlineLvl w:val="2"/>
      </w:pPr>
      <w:r>
        <w:rPr>
          <w:rFonts w:ascii="Calibri" w:hAnsi="Calibri"/>
          <w:b/>
          <w:i w:val="0"/>
          <w:color w:val="2E6DA4"/>
          <w:sz w:val="26"/>
        </w:rPr>
        <w:t>11.1  Pipeline Overview</w:t>
      </w:r>
    </w:p>
    <w:p>
      <w:pPr>
        <w:spacing w:after="120"/>
        <w:jc w:val="both"/>
      </w:pPr>
      <w:r>
        <w:rPr>
          <w:rFonts w:ascii="Calibri" w:hAnsi="Calibri"/>
          <w:b w:val="0"/>
          <w:i w:val="0"/>
          <w:color w:val="000000"/>
          <w:sz w:val="21"/>
        </w:rPr>
        <w:t>Data ingestion is a three-step pipeline: Download &amp; Parse (USPTO, PubMed, ClinicalTrials.gov downloads, plus LLM-assisted entity and organisation name extraction from PDFs); Transform (JSON to text, then into Entity and Relationship dataclasses); Load (MERGE-based Cypher ingestion via Neo4jGraphragAdapter and store_triples.py).</w:t>
      </w:r>
    </w:p>
    <w:p>
      <w:pPr>
        <w:spacing w:before="200" w:after="80"/>
        <w:outlineLvl w:val="2"/>
      </w:pPr>
      <w:r>
        <w:rPr>
          <w:rFonts w:ascii="Calibri" w:hAnsi="Calibri"/>
          <w:b/>
          <w:i w:val="0"/>
          <w:color w:val="2E6DA4"/>
          <w:sz w:val="26"/>
        </w:rPr>
        <w:t>11.2  Data Sources Configured</w:t>
      </w:r>
    </w:p>
    <w:p>
      <w:pPr>
        <w:pStyle w:val="ListBullet"/>
        <w:spacing w:after="40"/>
      </w:pPr>
      <w:r>
        <w:rPr>
          <w:rFonts w:ascii="Calibri" w:hAnsi="Calibri"/>
          <w:b w:val="0"/>
          <w:i w:val="0"/>
          <w:sz w:val="21"/>
        </w:rPr>
        <w:t>USPTO Patents — patent records, filing dates, assignees.</w:t>
      </w:r>
    </w:p>
    <w:p>
      <w:pPr>
        <w:pStyle w:val="ListBullet"/>
        <w:spacing w:after="40"/>
      </w:pPr>
      <w:r>
        <w:rPr>
          <w:rFonts w:ascii="Calibri" w:hAnsi="Calibri"/>
          <w:b w:val="0"/>
          <w:i w:val="0"/>
          <w:sz w:val="21"/>
        </w:rPr>
        <w:t>PubMed — journal articles, abstracts, citations.</w:t>
      </w:r>
    </w:p>
    <w:p>
      <w:pPr>
        <w:pStyle w:val="ListBullet"/>
        <w:spacing w:after="40"/>
      </w:pPr>
      <w:r>
        <w:rPr>
          <w:rFonts w:ascii="Calibri" w:hAnsi="Calibri"/>
          <w:b w:val="0"/>
          <w:i w:val="0"/>
          <w:sz w:val="21"/>
        </w:rPr>
        <w:t>ClinicalTrials.gov — trial records, phases, sponsors.</w:t>
      </w:r>
    </w:p>
    <w:p>
      <w:pPr>
        <w:pStyle w:val="ListBullet"/>
        <w:spacing w:after="40"/>
      </w:pPr>
      <w:r>
        <w:rPr>
          <w:rFonts w:ascii="Calibri" w:hAnsi="Calibri"/>
          <w:b w:val="0"/>
          <w:i w:val="0"/>
          <w:sz w:val="21"/>
        </w:rPr>
        <w:t>Internal CSL data — proprietary records.</w:t>
      </w:r>
    </w:p>
    <w:p>
      <w:pPr>
        <w:pStyle w:val="ListBullet"/>
        <w:spacing w:after="40"/>
      </w:pPr>
      <w:r>
        <w:rPr>
          <w:rFonts w:ascii="Calibri" w:hAnsi="Calibri"/>
          <w:b w:val="0"/>
          <w:i w:val="0"/>
          <w:sz w:val="21"/>
        </w:rPr>
        <w:t>DrugBank — drug mechanisms and indications.</w:t>
      </w:r>
    </w:p>
    <w:p>
      <w:pPr>
        <w:pStyle w:val="ListBullet"/>
        <w:spacing w:after="40"/>
      </w:pPr>
      <w:r>
        <w:rPr>
          <w:rFonts w:ascii="Calibri" w:hAnsi="Calibri"/>
          <w:b w:val="0"/>
          <w:i w:val="0"/>
          <w:sz w:val="21"/>
        </w:rPr>
        <w:t>Organisation database — pharma and biotech companies.</w:t>
      </w:r>
    </w:p>
    <w:p>
      <w:pPr>
        <w:spacing w:before="200" w:after="80"/>
        <w:outlineLvl w:val="2"/>
      </w:pPr>
      <w:r>
        <w:rPr>
          <w:rFonts w:ascii="Calibri" w:hAnsi="Calibri"/>
          <w:b/>
          <w:i w:val="0"/>
          <w:color w:val="2E6DA4"/>
          <w:sz w:val="26"/>
        </w:rPr>
        <w:t>11.3  Current Loading Status</w:t>
      </w:r>
    </w:p>
    <w:p>
      <w:pPr>
        <w:spacing w:before="120" w:after="160"/>
        <w:ind w:left="283" w:right="283"/>
        <w:shd w:val="clear" w:color="auto" w:fill="FFF3E0"/>
      </w:pPr>
      <w:r>
        <w:rPr>
          <w:rFonts w:ascii="Calibri" w:hAnsi="Calibri"/>
          <w:b w:val="0"/>
          <w:i/>
          <w:color w:val="A6192E"/>
          <w:sz w:val="20"/>
        </w:rPr>
        <w:t>⚑  USPTO patents count is currently zero in production (data deleted, never reloaded). PubMed count is currently zero (partial ingestion abandoned). Therapeutic-area subgroup counts are currently zero. These gaps are documented in the maintenance runbook and addressed in the companion document's data-readiness backlog.</w:t>
      </w:r>
    </w:p>
    <w:p>
      <w:pPr>
        <w:spacing w:before="200" w:after="80"/>
        <w:outlineLvl w:val="2"/>
      </w:pPr>
      <w:r>
        <w:rPr>
          <w:rFonts w:ascii="Calibri" w:hAnsi="Calibri"/>
          <w:b/>
          <w:i w:val="0"/>
          <w:color w:val="2E6DA4"/>
          <w:sz w:val="26"/>
        </w:rPr>
        <w:t>11.4  GraphRAG</w:t>
      </w:r>
    </w:p>
    <w:p>
      <w:pPr>
        <w:spacing w:after="120"/>
        <w:jc w:val="both"/>
      </w:pPr>
      <w:r>
        <w:rPr>
          <w:rFonts w:ascii="Calibri" w:hAnsi="Calibri"/>
          <w:b w:val="0"/>
          <w:i w:val="0"/>
          <w:color w:val="000000"/>
          <w:sz w:val="21"/>
        </w:rPr>
        <w:t>The GraphRAG NLP-extraction pipeline is documented as deprecated. The original concept — extracting biomedical triples directly from unstructured literature using LLM-assisted entity recognition — remains attractive but the current implementation has been frozen. The next-generation architecture in the companion document reframes this capability through Amazon Bedrock Knowledge Base, decoupling unstructured retrieval from the graph.</w:t>
      </w:r>
    </w:p>
    <w:p>
      <w:pPr>
        <w:spacing w:before="200" w:after="80"/>
        <w:outlineLvl w:val="2"/>
      </w:pPr>
      <w:r>
        <w:rPr>
          <w:rFonts w:ascii="Calibri" w:hAnsi="Calibri"/>
          <w:b/>
          <w:i w:val="0"/>
          <w:color w:val="2E6DA4"/>
          <w:sz w:val="26"/>
        </w:rPr>
        <w:t>11.5  Findings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Finding</w:t>
            </w:r>
          </w:p>
        </w:tc>
        <w:tc>
          <w:tcPr>
            <w:tcW w:type="dxa" w:w="3324"/>
            <w:shd w:val="clear" w:color="auto" w:fill="1B3A6B"/>
            <w:vAlign w:val="top"/>
          </w:tcPr>
          <w:p>
            <w:r/>
            <w:r>
              <w:rPr>
                <w:rFonts w:ascii="Calibri" w:hAnsi="Calibri"/>
                <w:b/>
                <w:i w:val="0"/>
                <w:color w:val="FFFFFF"/>
                <w:sz w:val="18"/>
              </w:rPr>
              <w:t>Severity</w:t>
            </w:r>
          </w:p>
        </w:tc>
        <w:tc>
          <w:tcPr>
            <w:tcW w:type="dxa" w:w="3324"/>
            <w:shd w:val="clear" w:color="auto" w:fill="1B3A6B"/>
            <w:vAlign w:val="top"/>
          </w:tcPr>
          <w:p>
            <w:r/>
            <w:r>
              <w:rPr>
                <w:rFonts w:ascii="Calibri" w:hAnsi="Calibri"/>
                <w:b/>
                <w:i w:val="0"/>
                <w:color w:val="FFFFFF"/>
                <w:sz w:val="18"/>
              </w:rPr>
              <w:t>Description</w:t>
            </w:r>
          </w:p>
        </w:tc>
      </w:tr>
      <w:tr>
        <w:tc>
          <w:tcPr>
            <w:tcW w:type="dxa" w:w="3324"/>
            <w:vAlign w:val="top"/>
          </w:tcPr>
          <w:p>
            <w:r/>
            <w:r>
              <w:rPr>
                <w:rFonts w:ascii="Calibri" w:hAnsi="Calibri"/>
                <w:b w:val="0"/>
                <w:i w:val="0"/>
                <w:color w:val="000000"/>
                <w:sz w:val="18"/>
              </w:rPr>
              <w:t>GRAPH-01</w:t>
            </w:r>
          </w:p>
        </w:tc>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No graph statistics dashboard surfacing live counts or growth.</w:t>
            </w:r>
          </w:p>
        </w:tc>
      </w:tr>
      <w:tr>
        <w:tc>
          <w:tcPr>
            <w:tcW w:type="dxa" w:w="3324"/>
            <w:vAlign w:val="top"/>
          </w:tcPr>
          <w:p>
            <w:r/>
            <w:r>
              <w:rPr>
                <w:rFonts w:ascii="Calibri" w:hAnsi="Calibri"/>
                <w:b w:val="0"/>
                <w:i w:val="0"/>
                <w:color w:val="000000"/>
                <w:sz w:val="18"/>
              </w:rPr>
              <w:t>GRAPH-02</w:t>
            </w:r>
          </w:p>
        </w:tc>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Graph data freshness not tracked; no last_updated property.</w:t>
            </w:r>
          </w:p>
        </w:tc>
      </w:tr>
    </w:tbl>
    <w:p/>
    <w:p>
      <w:r>
        <w:br w:type="page"/>
      </w:r>
    </w:p>
    <w:p>
      <w:pPr>
        <w:spacing w:before="360" w:after="240"/>
        <w:outlineLvl w:val="0"/>
      </w:pPr>
      <w:r>
        <w:rPr>
          <w:rFonts w:ascii="Calibri" w:hAnsi="Calibri"/>
          <w:b/>
          <w:i w:val="0"/>
          <w:color w:val="A6192E"/>
          <w:sz w:val="48"/>
        </w:rPr>
        <w:t>Part IV — Cross-Cutting Concerns</w:t>
      </w:r>
    </w:p>
    <w:p>
      <w:r>
        <w:br w:type="page"/>
      </w:r>
    </w:p>
    <w:p>
      <w:pPr>
        <w:spacing w:before="280" w:after="160"/>
        <w:outlineLvl w:val="1"/>
      </w:pPr>
      <w:r>
        <w:rPr>
          <w:rFonts w:ascii="Calibri" w:hAnsi="Calibri"/>
          <w:b/>
          <w:i w:val="0"/>
          <w:color w:val="1B3A6B"/>
          <w:sz w:val="34"/>
        </w:rPr>
        <w:t>Authentication and Authorisation</w:t>
      </w:r>
    </w:p>
    <w:p>
      <w:pPr>
        <w:spacing w:before="200" w:after="80"/>
        <w:outlineLvl w:val="2"/>
      </w:pPr>
      <w:r>
        <w:rPr>
          <w:rFonts w:ascii="Calibri" w:hAnsi="Calibri"/>
          <w:b/>
          <w:i w:val="0"/>
          <w:color w:val="2E6DA4"/>
          <w:sz w:val="26"/>
        </w:rPr>
        <w:t>12.1  Two-Layer Identity Model</w:t>
      </w:r>
    </w:p>
    <w:p>
      <w:pPr>
        <w:spacing w:after="120"/>
        <w:jc w:val="both"/>
      </w:pPr>
      <w:r>
        <w:rPr>
          <w:rFonts w:ascii="Calibri" w:hAnsi="Calibri"/>
          <w:b w:val="0"/>
          <w:i w:val="0"/>
          <w:color w:val="000000"/>
          <w:sz w:val="21"/>
        </w:rPr>
        <w:t>Eugene operates a two-layer identity model. Layer 1 is enterprise SSO via Microsoft Entra ID using OAuth 2.0 Authorization Code flow; Layer 2 is an Eugene-issued JWT that propagates between services. The two layers are necessary because Entra ID issues tokens scoped to a tenant and audience that the downstream services do not directly own; eugene_ws acts as an issuer for service-scoped tokens that include the additional claims (roles, allowlist membership) required by the platform.</w:t>
      </w:r>
    </w:p>
    <w:p>
      <w:pPr>
        <w:spacing w:before="200" w:after="80"/>
        <w:outlineLvl w:val="2"/>
      </w:pPr>
      <w:r>
        <w:rPr>
          <w:rFonts w:ascii="Calibri" w:hAnsi="Calibri"/>
          <w:b/>
          <w:i w:val="0"/>
          <w:color w:val="2E6DA4"/>
          <w:sz w:val="26"/>
        </w:rPr>
        <w:t>12.2  Eugene JWT Claims</w:t>
      </w:r>
    </w:p>
    <w:p>
      <w:pPr>
        <w:spacing w:before="80" w:after="80"/>
        <w:ind w:left="227" w:right="227"/>
        <w:shd w:val="clear" w:color="auto" w:fill="E3F2FD"/>
      </w:pPr>
      <w:r>
        <w:rPr>
          <w:rFonts w:ascii="Consolas" w:hAnsi="Consolas"/>
          <w:b w:val="0"/>
          <w:i w:val="0"/>
          <w:color w:val="1B3A6B"/>
          <w:sz w:val="18"/>
        </w:rPr>
        <w:t>{</w:t>
        <w:br/>
        <w:t xml:space="preserve">  "iss": "https://eugene.ai.cslg1.cslg.net/{tenant_id}",</w:t>
        <w:br/>
        <w:t xml:space="preserve">  "aud": "api://eugene/{client_id}",</w:t>
        <w:br/>
        <w:t xml:space="preserve">  "sub": "eugene.test",</w:t>
        <w:br/>
        <w:t xml:space="preserve">  "upn": "eugene.test@cslbehring.com",</w:t>
        <w:br/>
        <w:t xml:space="preserve">  "roles": ["user.public.read"],</w:t>
        <w:br/>
        <w:t xml:space="preserve">  "exp": 1711086400</w:t>
        <w:br/>
        <w:t>}</w:t>
      </w:r>
    </w:p>
    <w:p>
      <w:pPr>
        <w:spacing w:before="200" w:after="80"/>
        <w:outlineLvl w:val="2"/>
      </w:pPr>
      <w:r>
        <w:rPr>
          <w:rFonts w:ascii="Calibri" w:hAnsi="Calibri"/>
          <w:b/>
          <w:i w:val="0"/>
          <w:color w:val="2E6DA4"/>
          <w:sz w:val="26"/>
        </w:rPr>
        <w:t>12.3  Authorisation Boundaries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Boundary</w:t>
            </w:r>
          </w:p>
        </w:tc>
        <w:tc>
          <w:tcPr>
            <w:tcW w:type="dxa" w:w="3324"/>
            <w:shd w:val="clear" w:color="auto" w:fill="1B3A6B"/>
            <w:vAlign w:val="top"/>
          </w:tcPr>
          <w:p>
            <w:r/>
            <w:r>
              <w:rPr>
                <w:rFonts w:ascii="Calibri" w:hAnsi="Calibri"/>
                <w:b/>
                <w:i w:val="0"/>
                <w:color w:val="FFFFFF"/>
                <w:sz w:val="18"/>
              </w:rPr>
              <w:t>Mechanism</w:t>
            </w:r>
          </w:p>
        </w:tc>
        <w:tc>
          <w:tcPr>
            <w:tcW w:type="dxa" w:w="3324"/>
            <w:shd w:val="clear" w:color="auto" w:fill="1B3A6B"/>
            <w:vAlign w:val="top"/>
          </w:tcPr>
          <w:p>
            <w:r/>
            <w:r>
              <w:rPr>
                <w:rFonts w:ascii="Calibri" w:hAnsi="Calibri"/>
                <w:b/>
                <w:i w:val="0"/>
                <w:color w:val="FFFFFF"/>
                <w:sz w:val="18"/>
              </w:rPr>
              <w:t>Enforcement Point</w:t>
            </w:r>
          </w:p>
        </w:tc>
      </w:tr>
      <w:tr>
        <w:tc>
          <w:tcPr>
            <w:tcW w:type="dxa" w:w="3324"/>
            <w:vAlign w:val="top"/>
          </w:tcPr>
          <w:p>
            <w:r/>
            <w:r>
              <w:rPr>
                <w:rFonts w:ascii="Calibri" w:hAnsi="Calibri"/>
                <w:b w:val="0"/>
                <w:i w:val="0"/>
                <w:color w:val="000000"/>
                <w:sz w:val="18"/>
              </w:rPr>
              <w:t>User → eugene-agent-ui</w:t>
            </w:r>
          </w:p>
        </w:tc>
        <w:tc>
          <w:tcPr>
            <w:tcW w:type="dxa" w:w="3324"/>
            <w:vAlign w:val="top"/>
          </w:tcPr>
          <w:p>
            <w:r/>
            <w:r>
              <w:rPr>
                <w:rFonts w:ascii="Calibri" w:hAnsi="Calibri"/>
                <w:b w:val="0"/>
                <w:i w:val="0"/>
                <w:color w:val="000000"/>
                <w:sz w:val="18"/>
              </w:rPr>
              <w:t>Entra ID SSO</w:t>
            </w:r>
          </w:p>
        </w:tc>
        <w:tc>
          <w:tcPr>
            <w:tcW w:type="dxa" w:w="3324"/>
            <w:vAlign w:val="top"/>
          </w:tcPr>
          <w:p>
            <w:r/>
            <w:r>
              <w:rPr>
                <w:rFonts w:ascii="Calibri" w:hAnsi="Calibri"/>
                <w:b w:val="0"/>
                <w:i w:val="0"/>
                <w:color w:val="000000"/>
                <w:sz w:val="18"/>
              </w:rPr>
              <w:t>Browser redirect</w:t>
            </w:r>
          </w:p>
        </w:tc>
      </w:tr>
      <w:tr>
        <w:tc>
          <w:tcPr>
            <w:tcW w:type="dxa" w:w="3324"/>
            <w:vAlign w:val="top"/>
          </w:tcPr>
          <w:p>
            <w:r/>
            <w:r>
              <w:rPr>
                <w:rFonts w:ascii="Calibri" w:hAnsi="Calibri"/>
                <w:b w:val="0"/>
                <w:i w:val="0"/>
                <w:color w:val="000000"/>
                <w:sz w:val="18"/>
              </w:rPr>
              <w:t>UI → eugene-agent-ws</w:t>
            </w:r>
          </w:p>
        </w:tc>
        <w:tc>
          <w:tcPr>
            <w:tcW w:type="dxa" w:w="3324"/>
            <w:vAlign w:val="top"/>
          </w:tcPr>
          <w:p>
            <w:r/>
            <w:r>
              <w:rPr>
                <w:rFonts w:ascii="Calibri" w:hAnsi="Calibri"/>
                <w:b w:val="0"/>
                <w:i w:val="0"/>
                <w:color w:val="000000"/>
                <w:sz w:val="18"/>
              </w:rPr>
              <w:t>Eugene JWT</w:t>
            </w:r>
          </w:p>
        </w:tc>
        <w:tc>
          <w:tcPr>
            <w:tcW w:type="dxa" w:w="3324"/>
            <w:vAlign w:val="top"/>
          </w:tcPr>
          <w:p>
            <w:r/>
            <w:r>
              <w:rPr>
                <w:rFonts w:ascii="Calibri" w:hAnsi="Calibri"/>
                <w:b w:val="0"/>
                <w:i w:val="0"/>
                <w:color w:val="000000"/>
                <w:sz w:val="18"/>
              </w:rPr>
              <w:t>FastAPI dependency</w:t>
            </w:r>
          </w:p>
        </w:tc>
      </w:tr>
      <w:tr>
        <w:tc>
          <w:tcPr>
            <w:tcW w:type="dxa" w:w="3324"/>
            <w:vAlign w:val="top"/>
          </w:tcPr>
          <w:p>
            <w:r/>
            <w:r>
              <w:rPr>
                <w:rFonts w:ascii="Calibri" w:hAnsi="Calibri"/>
                <w:b w:val="0"/>
                <w:i w:val="0"/>
                <w:color w:val="000000"/>
                <w:sz w:val="18"/>
              </w:rPr>
              <w:t>Agent → eugene-mcp</w:t>
            </w:r>
          </w:p>
        </w:tc>
        <w:tc>
          <w:tcPr>
            <w:tcW w:type="dxa" w:w="3324"/>
            <w:vAlign w:val="top"/>
          </w:tcPr>
          <w:p>
            <w:r/>
            <w:r>
              <w:rPr>
                <w:rFonts w:ascii="Calibri" w:hAnsi="Calibri"/>
                <w:b w:val="0"/>
                <w:i w:val="0"/>
                <w:color w:val="000000"/>
                <w:sz w:val="18"/>
              </w:rPr>
              <w:t>Eugene JWT (forwarded)</w:t>
            </w:r>
          </w:p>
        </w:tc>
        <w:tc>
          <w:tcPr>
            <w:tcW w:type="dxa" w:w="3324"/>
            <w:vAlign w:val="top"/>
          </w:tcPr>
          <w:p>
            <w:r/>
            <w:r>
              <w:rPr>
                <w:rFonts w:ascii="Calibri" w:hAnsi="Calibri"/>
                <w:b w:val="0"/>
                <w:i w:val="0"/>
                <w:color w:val="000000"/>
                <w:sz w:val="18"/>
              </w:rPr>
              <w:t>FastMCP middleware</w:t>
            </w:r>
          </w:p>
        </w:tc>
      </w:tr>
      <w:tr>
        <w:tc>
          <w:tcPr>
            <w:tcW w:type="dxa" w:w="3324"/>
            <w:vAlign w:val="top"/>
          </w:tcPr>
          <w:p>
            <w:r/>
            <w:r>
              <w:rPr>
                <w:rFonts w:ascii="Calibri" w:hAnsi="Calibri"/>
                <w:b w:val="0"/>
                <w:i w:val="0"/>
                <w:color w:val="000000"/>
                <w:sz w:val="18"/>
              </w:rPr>
              <w:t>MCP → eugene_ws</w:t>
            </w:r>
          </w:p>
        </w:tc>
        <w:tc>
          <w:tcPr>
            <w:tcW w:type="dxa" w:w="3324"/>
            <w:vAlign w:val="top"/>
          </w:tcPr>
          <w:p>
            <w:r/>
            <w:r>
              <w:rPr>
                <w:rFonts w:ascii="Calibri" w:hAnsi="Calibri"/>
                <w:b w:val="0"/>
                <w:i w:val="0"/>
                <w:color w:val="000000"/>
                <w:sz w:val="18"/>
              </w:rPr>
              <w:t>Eugene JWT (forwarded)</w:t>
            </w:r>
          </w:p>
        </w:tc>
        <w:tc>
          <w:tcPr>
            <w:tcW w:type="dxa" w:w="3324"/>
            <w:vAlign w:val="top"/>
          </w:tcPr>
          <w:p>
            <w:r/>
            <w:r>
              <w:rPr>
                <w:rFonts w:ascii="Calibri" w:hAnsi="Calibri"/>
                <w:b w:val="0"/>
                <w:i w:val="0"/>
                <w:color w:val="000000"/>
                <w:sz w:val="18"/>
              </w:rPr>
              <w:t>FastAPI dependency</w:t>
            </w:r>
          </w:p>
        </w:tc>
      </w:tr>
    </w:tbl>
    <w:p/>
    <w:p>
      <w:pPr>
        <w:spacing w:before="200" w:after="80"/>
        <w:outlineLvl w:val="2"/>
      </w:pPr>
      <w:r>
        <w:rPr>
          <w:rFonts w:ascii="Calibri" w:hAnsi="Calibri"/>
          <w:b/>
          <w:i w:val="0"/>
          <w:color w:val="2E6DA4"/>
          <w:sz w:val="26"/>
        </w:rPr>
        <w:t>12.4  Allowlist and Local Mode</w:t>
      </w:r>
    </w:p>
    <w:p>
      <w:pPr>
        <w:spacing w:after="120"/>
        <w:jc w:val="both"/>
      </w:pPr>
      <w:r>
        <w:rPr>
          <w:rFonts w:ascii="Calibri" w:hAnsi="Calibri"/>
          <w:b w:val="0"/>
          <w:i w:val="0"/>
          <w:color w:val="000000"/>
          <w:sz w:val="21"/>
        </w:rPr>
        <w:t>An EUGENE_AGENT_ALLOWLIST environment variable (pipe-separated UPNs) gates agent invocation. Empty allowlist permits all authenticated users. Local development bypasses Entra ID via ENVIRONMENT=local; the agent issues a development JWT directly. This configuration must not be enabled outside developer environments.</w:t>
      </w:r>
    </w:p>
    <w:p>
      <w:pPr>
        <w:spacing w:before="200" w:after="80"/>
        <w:outlineLvl w:val="2"/>
      </w:pPr>
      <w:r>
        <w:rPr>
          <w:rFonts w:ascii="Calibri" w:hAnsi="Calibri"/>
          <w:b/>
          <w:i w:val="0"/>
          <w:color w:val="2E6DA4"/>
          <w:sz w:val="26"/>
        </w:rPr>
        <w:t>12.5  RBAC Status</w:t>
      </w:r>
    </w:p>
    <w:p>
      <w:pPr>
        <w:spacing w:after="120"/>
        <w:jc w:val="both"/>
      </w:pPr>
      <w:r>
        <w:rPr>
          <w:rFonts w:ascii="Calibri" w:hAnsi="Calibri"/>
          <w:b w:val="0"/>
          <w:i w:val="0"/>
          <w:color w:val="000000"/>
          <w:sz w:val="21"/>
        </w:rPr>
        <w:t>Row-level RBAC is not implemented today. The roles claim is present in the JWT but not enforced inside Cypher queries. Future work scoped to Q3 2026 introduces Neo4j property-based access control for confidential data; until that lands, only public data should be ingested into the graph.</w:t>
      </w:r>
    </w:p>
    <w:p>
      <w:pPr>
        <w:spacing w:before="200" w:after="80"/>
        <w:outlineLvl w:val="2"/>
      </w:pPr>
      <w:r>
        <w:rPr>
          <w:rFonts w:ascii="Calibri" w:hAnsi="Calibri"/>
          <w:b/>
          <w:i w:val="0"/>
          <w:color w:val="2E6DA4"/>
          <w:sz w:val="26"/>
        </w:rPr>
        <w:t>12.6  Findings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Finding</w:t>
            </w:r>
          </w:p>
        </w:tc>
        <w:tc>
          <w:tcPr>
            <w:tcW w:type="dxa" w:w="3324"/>
            <w:shd w:val="clear" w:color="auto" w:fill="1B3A6B"/>
            <w:vAlign w:val="top"/>
          </w:tcPr>
          <w:p>
            <w:r/>
            <w:r>
              <w:rPr>
                <w:rFonts w:ascii="Calibri" w:hAnsi="Calibri"/>
                <w:b/>
                <w:i w:val="0"/>
                <w:color w:val="FFFFFF"/>
                <w:sz w:val="18"/>
              </w:rPr>
              <w:t>Severity</w:t>
            </w:r>
          </w:p>
        </w:tc>
        <w:tc>
          <w:tcPr>
            <w:tcW w:type="dxa" w:w="3324"/>
            <w:shd w:val="clear" w:color="auto" w:fill="1B3A6B"/>
            <w:vAlign w:val="top"/>
          </w:tcPr>
          <w:p>
            <w:r/>
            <w:r>
              <w:rPr>
                <w:rFonts w:ascii="Calibri" w:hAnsi="Calibri"/>
                <w:b/>
                <w:i w:val="0"/>
                <w:color w:val="FFFFFF"/>
                <w:sz w:val="18"/>
              </w:rPr>
              <w:t>Description</w:t>
            </w:r>
          </w:p>
        </w:tc>
      </w:tr>
      <w:tr>
        <w:tc>
          <w:tcPr>
            <w:tcW w:type="dxa" w:w="3324"/>
            <w:vAlign w:val="top"/>
          </w:tcPr>
          <w:p>
            <w:r/>
            <w:r>
              <w:rPr>
                <w:rFonts w:ascii="Calibri" w:hAnsi="Calibri"/>
                <w:b w:val="0"/>
                <w:i w:val="0"/>
                <w:color w:val="000000"/>
                <w:sz w:val="18"/>
              </w:rPr>
              <w:t>SEC-04</w:t>
            </w:r>
          </w:p>
        </w:tc>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No token revocation; compromised JWTs valid until expiry. Logout endpoint missing.</w:t>
            </w:r>
          </w:p>
        </w:tc>
      </w:tr>
      <w:tr>
        <w:tc>
          <w:tcPr>
            <w:tcW w:type="dxa" w:w="3324"/>
            <w:vAlign w:val="top"/>
          </w:tcPr>
          <w:p>
            <w:r/>
            <w:r>
              <w:rPr>
                <w:rFonts w:ascii="Calibri" w:hAnsi="Calibri"/>
                <w:b w:val="0"/>
                <w:i w:val="0"/>
                <w:color w:val="000000"/>
                <w:sz w:val="18"/>
              </w:rPr>
              <w:t>SEC-05</w:t>
            </w:r>
          </w:p>
        </w:tc>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PII / PHI not filtered in prompts or responses; regulatory risk.</w:t>
            </w:r>
          </w:p>
        </w:tc>
      </w:tr>
    </w:tbl>
    <w:p/>
    <w:p>
      <w:pPr>
        <w:spacing w:before="280" w:after="160"/>
        <w:outlineLvl w:val="1"/>
      </w:pPr>
      <w:r>
        <w:rPr>
          <w:rFonts w:ascii="Calibri" w:hAnsi="Calibri"/>
          <w:b/>
          <w:i w:val="0"/>
          <w:color w:val="1B3A6B"/>
          <w:sz w:val="34"/>
        </w:rPr>
        <w:t>Performance Profile</w:t>
      </w:r>
    </w:p>
    <w:p>
      <w:pPr>
        <w:spacing w:before="200" w:after="80"/>
        <w:outlineLvl w:val="2"/>
      </w:pPr>
      <w:r>
        <w:rPr>
          <w:rFonts w:ascii="Calibri" w:hAnsi="Calibri"/>
          <w:b/>
          <w:i w:val="0"/>
          <w:color w:val="2E6DA4"/>
          <w:sz w:val="26"/>
        </w:rPr>
        <w:t>13.1  Measured Latency</w:t>
      </w:r>
    </w:p>
    <w:tbl>
      <w:tblPr>
        <w:tblStyle w:val="LightGrid-Accent1"/>
        <w:tblW w:type="auto" w:w="0"/>
        <w:jc w:val="center"/>
        <w:tblLook w:firstColumn="1" w:firstRow="1" w:lastColumn="0" w:lastRow="0" w:noHBand="0" w:noVBand="1" w:val="04A0"/>
      </w:tblPr>
      <w:tblGrid>
        <w:gridCol w:w="2493"/>
        <w:gridCol w:w="2493"/>
        <w:gridCol w:w="2493"/>
        <w:gridCol w:w="2493"/>
      </w:tblGrid>
      <w:tr>
        <w:tc>
          <w:tcPr>
            <w:tcW w:type="dxa" w:w="2493"/>
            <w:shd w:val="clear" w:color="auto" w:fill="1B3A6B"/>
            <w:vAlign w:val="top"/>
          </w:tcPr>
          <w:p>
            <w:r/>
            <w:r>
              <w:rPr>
                <w:rFonts w:ascii="Calibri" w:hAnsi="Calibri"/>
                <w:b/>
                <w:i w:val="0"/>
                <w:color w:val="FFFFFF"/>
                <w:sz w:val="18"/>
              </w:rPr>
              <w:t>Operation</w:t>
            </w:r>
          </w:p>
        </w:tc>
        <w:tc>
          <w:tcPr>
            <w:tcW w:type="dxa" w:w="2493"/>
            <w:shd w:val="clear" w:color="auto" w:fill="1B3A6B"/>
            <w:vAlign w:val="top"/>
          </w:tcPr>
          <w:p>
            <w:r/>
            <w:r>
              <w:rPr>
                <w:rFonts w:ascii="Calibri" w:hAnsi="Calibri"/>
                <w:b/>
                <w:i w:val="0"/>
                <w:color w:val="FFFFFF"/>
                <w:sz w:val="18"/>
              </w:rPr>
              <w:t>P50</w:t>
            </w:r>
          </w:p>
        </w:tc>
        <w:tc>
          <w:tcPr>
            <w:tcW w:type="dxa" w:w="2493"/>
            <w:shd w:val="clear" w:color="auto" w:fill="1B3A6B"/>
            <w:vAlign w:val="top"/>
          </w:tcPr>
          <w:p>
            <w:r/>
            <w:r>
              <w:rPr>
                <w:rFonts w:ascii="Calibri" w:hAnsi="Calibri"/>
                <w:b/>
                <w:i w:val="0"/>
                <w:color w:val="FFFFFF"/>
                <w:sz w:val="18"/>
              </w:rPr>
              <w:t>P95</w:t>
            </w:r>
          </w:p>
        </w:tc>
        <w:tc>
          <w:tcPr>
            <w:tcW w:type="dxa" w:w="2493"/>
            <w:shd w:val="clear" w:color="auto" w:fill="1B3A6B"/>
            <w:vAlign w:val="top"/>
          </w:tcPr>
          <w:p>
            <w:r/>
            <w:r>
              <w:rPr>
                <w:rFonts w:ascii="Calibri" w:hAnsi="Calibri"/>
                <w:b/>
                <w:i w:val="0"/>
                <w:color w:val="FFFFFF"/>
                <w:sz w:val="18"/>
              </w:rPr>
              <w:t>P99</w:t>
            </w:r>
          </w:p>
        </w:tc>
      </w:tr>
      <w:tr>
        <w:tc>
          <w:tcPr>
            <w:tcW w:type="dxa" w:w="2493"/>
            <w:vAlign w:val="top"/>
          </w:tcPr>
          <w:p>
            <w:r/>
            <w:r>
              <w:rPr>
                <w:rFonts w:ascii="Calibri" w:hAnsi="Calibri"/>
                <w:b w:val="0"/>
                <w:i w:val="0"/>
                <w:color w:val="000000"/>
                <w:sz w:val="18"/>
              </w:rPr>
              <w:t>Node identity lookup</w:t>
            </w:r>
          </w:p>
        </w:tc>
        <w:tc>
          <w:tcPr>
            <w:tcW w:type="dxa" w:w="2493"/>
            <w:vAlign w:val="top"/>
          </w:tcPr>
          <w:p>
            <w:r/>
            <w:r>
              <w:rPr>
                <w:rFonts w:ascii="Calibri" w:hAnsi="Calibri"/>
                <w:b w:val="0"/>
                <w:i w:val="0"/>
                <w:color w:val="000000"/>
                <w:sz w:val="18"/>
              </w:rPr>
              <w:t>45 ms</w:t>
            </w:r>
          </w:p>
        </w:tc>
        <w:tc>
          <w:tcPr>
            <w:tcW w:type="dxa" w:w="2493"/>
            <w:vAlign w:val="top"/>
          </w:tcPr>
          <w:p>
            <w:r/>
            <w:r>
              <w:rPr>
                <w:rFonts w:ascii="Calibri" w:hAnsi="Calibri"/>
                <w:b w:val="0"/>
                <w:i w:val="0"/>
                <w:color w:val="000000"/>
                <w:sz w:val="18"/>
              </w:rPr>
              <w:t>120 ms</w:t>
            </w:r>
          </w:p>
        </w:tc>
        <w:tc>
          <w:tcPr>
            <w:tcW w:type="dxa" w:w="2493"/>
            <w:vAlign w:val="top"/>
          </w:tcPr>
          <w:p>
            <w:r/>
            <w:r>
              <w:rPr>
                <w:rFonts w:ascii="Calibri" w:hAnsi="Calibri"/>
                <w:b w:val="0"/>
                <w:i w:val="0"/>
                <w:color w:val="000000"/>
                <w:sz w:val="18"/>
              </w:rPr>
              <w:t>200 ms</w:t>
            </w:r>
          </w:p>
        </w:tc>
      </w:tr>
      <w:tr>
        <w:tc>
          <w:tcPr>
            <w:tcW w:type="dxa" w:w="2493"/>
            <w:vAlign w:val="top"/>
          </w:tcPr>
          <w:p>
            <w:r/>
            <w:r>
              <w:rPr>
                <w:rFonts w:ascii="Calibri" w:hAnsi="Calibri"/>
                <w:b w:val="0"/>
                <w:i w:val="0"/>
                <w:color w:val="000000"/>
                <w:sz w:val="18"/>
              </w:rPr>
              <w:t>N-hop traversal (2-hop)</w:t>
            </w:r>
          </w:p>
        </w:tc>
        <w:tc>
          <w:tcPr>
            <w:tcW w:type="dxa" w:w="2493"/>
            <w:vAlign w:val="top"/>
          </w:tcPr>
          <w:p>
            <w:r/>
            <w:r>
              <w:rPr>
                <w:rFonts w:ascii="Calibri" w:hAnsi="Calibri"/>
                <w:b w:val="0"/>
                <w:i w:val="0"/>
                <w:color w:val="000000"/>
                <w:sz w:val="18"/>
              </w:rPr>
              <w:t>180 ms</w:t>
            </w:r>
          </w:p>
        </w:tc>
        <w:tc>
          <w:tcPr>
            <w:tcW w:type="dxa" w:w="2493"/>
            <w:vAlign w:val="top"/>
          </w:tcPr>
          <w:p>
            <w:r/>
            <w:r>
              <w:rPr>
                <w:rFonts w:ascii="Calibri" w:hAnsi="Calibri"/>
                <w:b w:val="0"/>
                <w:i w:val="0"/>
                <w:color w:val="000000"/>
                <w:sz w:val="18"/>
              </w:rPr>
              <w:t>450 ms</w:t>
            </w:r>
          </w:p>
        </w:tc>
        <w:tc>
          <w:tcPr>
            <w:tcW w:type="dxa" w:w="2493"/>
            <w:vAlign w:val="top"/>
          </w:tcPr>
          <w:p>
            <w:r/>
            <w:r>
              <w:rPr>
                <w:rFonts w:ascii="Calibri" w:hAnsi="Calibri"/>
                <w:b w:val="0"/>
                <w:i w:val="0"/>
                <w:color w:val="000000"/>
                <w:sz w:val="18"/>
              </w:rPr>
              <w:t>800 ms</w:t>
            </w:r>
          </w:p>
        </w:tc>
      </w:tr>
      <w:tr>
        <w:tc>
          <w:tcPr>
            <w:tcW w:type="dxa" w:w="2493"/>
            <w:vAlign w:val="top"/>
          </w:tcPr>
          <w:p>
            <w:r/>
            <w:r>
              <w:rPr>
                <w:rFonts w:ascii="Calibri" w:hAnsi="Calibri"/>
                <w:b w:val="0"/>
                <w:i w:val="0"/>
                <w:color w:val="000000"/>
                <w:sz w:val="18"/>
              </w:rPr>
              <w:t>N-hop traversal (3-hop, blocked)</w:t>
            </w:r>
          </w:p>
        </w:tc>
        <w:tc>
          <w:tcPr>
            <w:tcW w:type="dxa" w:w="2493"/>
            <w:vAlign w:val="top"/>
          </w:tcPr>
          <w:p>
            <w:r/>
            <w:r>
              <w:rPr>
                <w:rFonts w:ascii="Calibri" w:hAnsi="Calibri"/>
                <w:b w:val="0"/>
                <w:i w:val="0"/>
                <w:color w:val="000000"/>
                <w:sz w:val="18"/>
              </w:rPr>
              <w:t>—</w:t>
            </w:r>
          </w:p>
        </w:tc>
        <w:tc>
          <w:tcPr>
            <w:tcW w:type="dxa" w:w="2493"/>
            <w:vAlign w:val="top"/>
          </w:tcPr>
          <w:p>
            <w:r/>
            <w:r>
              <w:rPr>
                <w:rFonts w:ascii="Calibri" w:hAnsi="Calibri"/>
                <w:b w:val="0"/>
                <w:i w:val="0"/>
                <w:color w:val="000000"/>
                <w:sz w:val="18"/>
              </w:rPr>
              <w:t>—</w:t>
            </w:r>
          </w:p>
        </w:tc>
        <w:tc>
          <w:tcPr>
            <w:tcW w:type="dxa" w:w="2493"/>
            <w:vAlign w:val="top"/>
          </w:tcPr>
          <w:p>
            <w:r/>
            <w:r>
              <w:rPr>
                <w:rFonts w:ascii="Calibri" w:hAnsi="Calibri"/>
                <w:b w:val="0"/>
                <w:i w:val="0"/>
                <w:color w:val="000000"/>
                <w:sz w:val="18"/>
              </w:rPr>
              <w:t>—</w:t>
            </w:r>
          </w:p>
        </w:tc>
      </w:tr>
      <w:tr>
        <w:tc>
          <w:tcPr>
            <w:tcW w:type="dxa" w:w="2493"/>
            <w:vAlign w:val="top"/>
          </w:tcPr>
          <w:p>
            <w:r/>
            <w:r>
              <w:rPr>
                <w:rFonts w:ascii="Calibri" w:hAnsi="Calibri"/>
                <w:b w:val="0"/>
                <w:i w:val="0"/>
                <w:color w:val="000000"/>
                <w:sz w:val="18"/>
              </w:rPr>
              <w:t>Shortest path query</w:t>
            </w:r>
          </w:p>
        </w:tc>
        <w:tc>
          <w:tcPr>
            <w:tcW w:type="dxa" w:w="2493"/>
            <w:vAlign w:val="top"/>
          </w:tcPr>
          <w:p>
            <w:r/>
            <w:r>
              <w:rPr>
                <w:rFonts w:ascii="Calibri" w:hAnsi="Calibri"/>
                <w:b w:val="0"/>
                <w:i w:val="0"/>
                <w:color w:val="000000"/>
                <w:sz w:val="18"/>
              </w:rPr>
              <w:t>250 ms</w:t>
            </w:r>
          </w:p>
        </w:tc>
        <w:tc>
          <w:tcPr>
            <w:tcW w:type="dxa" w:w="2493"/>
            <w:vAlign w:val="top"/>
          </w:tcPr>
          <w:p>
            <w:r/>
            <w:r>
              <w:rPr>
                <w:rFonts w:ascii="Calibri" w:hAnsi="Calibri"/>
                <w:b w:val="0"/>
                <w:i w:val="0"/>
                <w:color w:val="000000"/>
                <w:sz w:val="18"/>
              </w:rPr>
              <w:t>600 ms</w:t>
            </w:r>
          </w:p>
        </w:tc>
        <w:tc>
          <w:tcPr>
            <w:tcW w:type="dxa" w:w="2493"/>
            <w:vAlign w:val="top"/>
          </w:tcPr>
          <w:p>
            <w:r/>
            <w:r>
              <w:rPr>
                <w:rFonts w:ascii="Calibri" w:hAnsi="Calibri"/>
                <w:b w:val="0"/>
                <w:i w:val="0"/>
                <w:color w:val="000000"/>
                <w:sz w:val="18"/>
              </w:rPr>
              <w:t>1.2 s</w:t>
            </w:r>
          </w:p>
        </w:tc>
      </w:tr>
      <w:tr>
        <w:tc>
          <w:tcPr>
            <w:tcW w:type="dxa" w:w="2493"/>
            <w:vAlign w:val="top"/>
          </w:tcPr>
          <w:p>
            <w:r/>
            <w:r>
              <w:rPr>
                <w:rFonts w:ascii="Calibri" w:hAnsi="Calibri"/>
                <w:b w:val="0"/>
                <w:i w:val="0"/>
                <w:color w:val="000000"/>
                <w:sz w:val="18"/>
              </w:rPr>
              <w:t>Fact extraction (10 facts)</w:t>
            </w:r>
          </w:p>
        </w:tc>
        <w:tc>
          <w:tcPr>
            <w:tcW w:type="dxa" w:w="2493"/>
            <w:vAlign w:val="top"/>
          </w:tcPr>
          <w:p>
            <w:r/>
            <w:r>
              <w:rPr>
                <w:rFonts w:ascii="Calibri" w:hAnsi="Calibri"/>
                <w:b w:val="0"/>
                <w:i w:val="0"/>
                <w:color w:val="000000"/>
                <w:sz w:val="18"/>
              </w:rPr>
              <w:t>90 ms</w:t>
            </w:r>
          </w:p>
        </w:tc>
        <w:tc>
          <w:tcPr>
            <w:tcW w:type="dxa" w:w="2493"/>
            <w:vAlign w:val="top"/>
          </w:tcPr>
          <w:p>
            <w:r/>
            <w:r>
              <w:rPr>
                <w:rFonts w:ascii="Calibri" w:hAnsi="Calibri"/>
                <w:b w:val="0"/>
                <w:i w:val="0"/>
                <w:color w:val="000000"/>
                <w:sz w:val="18"/>
              </w:rPr>
              <w:t>220 ms</w:t>
            </w:r>
          </w:p>
        </w:tc>
        <w:tc>
          <w:tcPr>
            <w:tcW w:type="dxa" w:w="2493"/>
            <w:vAlign w:val="top"/>
          </w:tcPr>
          <w:p>
            <w:r/>
            <w:r>
              <w:rPr>
                <w:rFonts w:ascii="Calibri" w:hAnsi="Calibri"/>
                <w:b w:val="0"/>
                <w:i w:val="0"/>
                <w:color w:val="000000"/>
                <w:sz w:val="18"/>
              </w:rPr>
              <w:t>400 ms</w:t>
            </w:r>
          </w:p>
        </w:tc>
      </w:tr>
      <w:tr>
        <w:tc>
          <w:tcPr>
            <w:tcW w:type="dxa" w:w="2493"/>
            <w:vAlign w:val="top"/>
          </w:tcPr>
          <w:p>
            <w:r/>
            <w:r>
              <w:rPr>
                <w:rFonts w:ascii="Calibri" w:hAnsi="Calibri"/>
                <w:b w:val="0"/>
                <w:i w:val="0"/>
                <w:color w:val="000000"/>
                <w:sz w:val="18"/>
              </w:rPr>
              <w:t>MCP tool round-trip overhead</w:t>
            </w:r>
          </w:p>
        </w:tc>
        <w:tc>
          <w:tcPr>
            <w:tcW w:type="dxa" w:w="2493"/>
            <w:vAlign w:val="top"/>
          </w:tcPr>
          <w:p>
            <w:r/>
            <w:r>
              <w:rPr>
                <w:rFonts w:ascii="Calibri" w:hAnsi="Calibri"/>
                <w:b w:val="0"/>
                <w:i w:val="0"/>
                <w:color w:val="000000"/>
                <w:sz w:val="18"/>
              </w:rPr>
              <w:t>+30 ms</w:t>
            </w:r>
          </w:p>
        </w:tc>
        <w:tc>
          <w:tcPr>
            <w:tcW w:type="dxa" w:w="2493"/>
            <w:vAlign w:val="top"/>
          </w:tcPr>
          <w:p>
            <w:r/>
            <w:r>
              <w:rPr>
                <w:rFonts w:ascii="Calibri" w:hAnsi="Calibri"/>
                <w:b w:val="0"/>
                <w:i w:val="0"/>
                <w:color w:val="000000"/>
                <w:sz w:val="18"/>
              </w:rPr>
              <w:t>+80 ms</w:t>
            </w:r>
          </w:p>
        </w:tc>
        <w:tc>
          <w:tcPr>
            <w:tcW w:type="dxa" w:w="2493"/>
            <w:vAlign w:val="top"/>
          </w:tcPr>
          <w:p>
            <w:r/>
            <w:r>
              <w:rPr>
                <w:rFonts w:ascii="Calibri" w:hAnsi="Calibri"/>
                <w:b w:val="0"/>
                <w:i w:val="0"/>
                <w:color w:val="000000"/>
                <w:sz w:val="18"/>
              </w:rPr>
              <w:t>+150 ms</w:t>
            </w:r>
          </w:p>
        </w:tc>
      </w:tr>
      <w:tr>
        <w:tc>
          <w:tcPr>
            <w:tcW w:type="dxa" w:w="2493"/>
            <w:vAlign w:val="top"/>
          </w:tcPr>
          <w:p>
            <w:r/>
            <w:r>
              <w:rPr>
                <w:rFonts w:ascii="Calibri" w:hAnsi="Calibri"/>
                <w:b w:val="0"/>
                <w:i w:val="0"/>
                <w:color w:val="000000"/>
                <w:sz w:val="18"/>
              </w:rPr>
              <w:t>Agent single-tool query</w:t>
            </w:r>
          </w:p>
        </w:tc>
        <w:tc>
          <w:tcPr>
            <w:tcW w:type="dxa" w:w="2493"/>
            <w:vAlign w:val="top"/>
          </w:tcPr>
          <w:p>
            <w:r/>
            <w:r>
              <w:rPr>
                <w:rFonts w:ascii="Calibri" w:hAnsi="Calibri"/>
                <w:b w:val="0"/>
                <w:i w:val="0"/>
                <w:color w:val="000000"/>
                <w:sz w:val="18"/>
              </w:rPr>
              <w:t>2.0 s</w:t>
            </w:r>
          </w:p>
        </w:tc>
        <w:tc>
          <w:tcPr>
            <w:tcW w:type="dxa" w:w="2493"/>
            <w:vAlign w:val="top"/>
          </w:tcPr>
          <w:p>
            <w:r/>
            <w:r>
              <w:rPr>
                <w:rFonts w:ascii="Calibri" w:hAnsi="Calibri"/>
                <w:b w:val="0"/>
                <w:i w:val="0"/>
                <w:color w:val="000000"/>
                <w:sz w:val="18"/>
              </w:rPr>
              <w:t>4.5 s</w:t>
            </w:r>
          </w:p>
        </w:tc>
        <w:tc>
          <w:tcPr>
            <w:tcW w:type="dxa" w:w="2493"/>
            <w:vAlign w:val="top"/>
          </w:tcPr>
          <w:p>
            <w:r/>
            <w:r>
              <w:rPr>
                <w:rFonts w:ascii="Calibri" w:hAnsi="Calibri"/>
                <w:b w:val="0"/>
                <w:i w:val="0"/>
                <w:color w:val="000000"/>
                <w:sz w:val="18"/>
              </w:rPr>
              <w:t>8.0 s</w:t>
            </w:r>
          </w:p>
        </w:tc>
      </w:tr>
      <w:tr>
        <w:tc>
          <w:tcPr>
            <w:tcW w:type="dxa" w:w="2493"/>
            <w:vAlign w:val="top"/>
          </w:tcPr>
          <w:p>
            <w:r/>
            <w:r>
              <w:rPr>
                <w:rFonts w:ascii="Calibri" w:hAnsi="Calibri"/>
                <w:b w:val="0"/>
                <w:i w:val="0"/>
                <w:color w:val="000000"/>
                <w:sz w:val="18"/>
              </w:rPr>
              <w:t>Agent multi-tool query (3 tools)</w:t>
            </w:r>
          </w:p>
        </w:tc>
        <w:tc>
          <w:tcPr>
            <w:tcW w:type="dxa" w:w="2493"/>
            <w:vAlign w:val="top"/>
          </w:tcPr>
          <w:p>
            <w:r/>
            <w:r>
              <w:rPr>
                <w:rFonts w:ascii="Calibri" w:hAnsi="Calibri"/>
                <w:b w:val="0"/>
                <w:i w:val="0"/>
                <w:color w:val="000000"/>
                <w:sz w:val="18"/>
              </w:rPr>
              <w:t>6.0 s</w:t>
            </w:r>
          </w:p>
        </w:tc>
        <w:tc>
          <w:tcPr>
            <w:tcW w:type="dxa" w:w="2493"/>
            <w:vAlign w:val="top"/>
          </w:tcPr>
          <w:p>
            <w:r/>
            <w:r>
              <w:rPr>
                <w:rFonts w:ascii="Calibri" w:hAnsi="Calibri"/>
                <w:b w:val="0"/>
                <w:i w:val="0"/>
                <w:color w:val="000000"/>
                <w:sz w:val="18"/>
              </w:rPr>
              <w:t>12.0 s</w:t>
            </w:r>
          </w:p>
        </w:tc>
        <w:tc>
          <w:tcPr>
            <w:tcW w:type="dxa" w:w="2493"/>
            <w:vAlign w:val="top"/>
          </w:tcPr>
          <w:p>
            <w:r/>
            <w:r>
              <w:rPr>
                <w:rFonts w:ascii="Calibri" w:hAnsi="Calibri"/>
                <w:b w:val="0"/>
                <w:i w:val="0"/>
                <w:color w:val="000000"/>
                <w:sz w:val="18"/>
              </w:rPr>
              <w:t>20.0 s</w:t>
            </w:r>
          </w:p>
        </w:tc>
      </w:tr>
      <w:tr>
        <w:tc>
          <w:tcPr>
            <w:tcW w:type="dxa" w:w="2493"/>
            <w:vAlign w:val="top"/>
          </w:tcPr>
          <w:p>
            <w:r/>
            <w:r>
              <w:rPr>
                <w:rFonts w:ascii="Calibri" w:hAnsi="Calibri"/>
                <w:b w:val="0"/>
                <w:i w:val="0"/>
                <w:color w:val="000000"/>
                <w:sz w:val="18"/>
              </w:rPr>
              <w:t>First token to UI</w:t>
            </w:r>
          </w:p>
        </w:tc>
        <w:tc>
          <w:tcPr>
            <w:tcW w:type="dxa" w:w="2493"/>
            <w:vAlign w:val="top"/>
          </w:tcPr>
          <w:p>
            <w:r/>
            <w:r>
              <w:rPr>
                <w:rFonts w:ascii="Calibri" w:hAnsi="Calibri"/>
                <w:b w:val="0"/>
                <w:i w:val="0"/>
                <w:color w:val="000000"/>
                <w:sz w:val="18"/>
              </w:rPr>
              <w:t>0.8 s</w:t>
            </w:r>
          </w:p>
        </w:tc>
        <w:tc>
          <w:tcPr>
            <w:tcW w:type="dxa" w:w="2493"/>
            <w:vAlign w:val="top"/>
          </w:tcPr>
          <w:p>
            <w:r/>
            <w:r>
              <w:rPr>
                <w:rFonts w:ascii="Calibri" w:hAnsi="Calibri"/>
                <w:b w:val="0"/>
                <w:i w:val="0"/>
                <w:color w:val="000000"/>
                <w:sz w:val="18"/>
              </w:rPr>
              <w:t>1.8 s</w:t>
            </w:r>
          </w:p>
        </w:tc>
        <w:tc>
          <w:tcPr>
            <w:tcW w:type="dxa" w:w="2493"/>
            <w:vAlign w:val="top"/>
          </w:tcPr>
          <w:p>
            <w:r/>
            <w:r>
              <w:rPr>
                <w:rFonts w:ascii="Calibri" w:hAnsi="Calibri"/>
                <w:b w:val="0"/>
                <w:i w:val="0"/>
                <w:color w:val="000000"/>
                <w:sz w:val="18"/>
              </w:rPr>
              <w:t>3.5 s</w:t>
            </w:r>
          </w:p>
        </w:tc>
      </w:tr>
    </w:tbl>
    <w:p/>
    <w:p>
      <w:pPr>
        <w:spacing w:before="200" w:after="80"/>
        <w:outlineLvl w:val="2"/>
      </w:pPr>
      <w:r>
        <w:rPr>
          <w:rFonts w:ascii="Calibri" w:hAnsi="Calibri"/>
          <w:b/>
          <w:i w:val="0"/>
          <w:color w:val="2E6DA4"/>
          <w:sz w:val="26"/>
        </w:rPr>
        <w:t>13.2  Throughput Envelope</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Metric</w:t>
            </w:r>
          </w:p>
        </w:tc>
        <w:tc>
          <w:tcPr>
            <w:tcW w:type="dxa" w:w="4986"/>
            <w:shd w:val="clear" w:color="auto" w:fill="1B3A6B"/>
            <w:vAlign w:val="top"/>
          </w:tcPr>
          <w:p>
            <w:r/>
            <w:r>
              <w:rPr>
                <w:rFonts w:ascii="Calibri" w:hAnsi="Calibri"/>
                <w:b/>
                <w:i w:val="0"/>
                <w:color w:val="FFFFFF"/>
                <w:sz w:val="18"/>
              </w:rPr>
              <w:t>Value</w:t>
            </w:r>
          </w:p>
        </w:tc>
      </w:tr>
      <w:tr>
        <w:tc>
          <w:tcPr>
            <w:tcW w:type="dxa" w:w="4986"/>
            <w:vAlign w:val="top"/>
          </w:tcPr>
          <w:p>
            <w:r/>
            <w:r>
              <w:rPr>
                <w:rFonts w:ascii="Calibri" w:hAnsi="Calibri"/>
                <w:b w:val="0"/>
                <w:i w:val="0"/>
                <w:color w:val="000000"/>
                <w:sz w:val="18"/>
              </w:rPr>
              <w:t>Concurrent users (local Docker)</w:t>
            </w:r>
          </w:p>
        </w:tc>
        <w:tc>
          <w:tcPr>
            <w:tcW w:type="dxa" w:w="4986"/>
            <w:vAlign w:val="top"/>
          </w:tcPr>
          <w:p>
            <w:r/>
            <w:r>
              <w:rPr>
                <w:rFonts w:ascii="Calibri" w:hAnsi="Calibri"/>
                <w:b w:val="0"/>
                <w:i w:val="0"/>
                <w:color w:val="000000"/>
                <w:sz w:val="18"/>
              </w:rPr>
              <w:t>5–10</w:t>
            </w:r>
          </w:p>
        </w:tc>
      </w:tr>
      <w:tr>
        <w:tc>
          <w:tcPr>
            <w:tcW w:type="dxa" w:w="4986"/>
            <w:vAlign w:val="top"/>
          </w:tcPr>
          <w:p>
            <w:r/>
            <w:r>
              <w:rPr>
                <w:rFonts w:ascii="Calibri" w:hAnsi="Calibri"/>
                <w:b w:val="0"/>
                <w:i w:val="0"/>
                <w:color w:val="000000"/>
                <w:sz w:val="18"/>
              </w:rPr>
              <w:t>Concurrent users (ECS production)</w:t>
            </w:r>
          </w:p>
        </w:tc>
        <w:tc>
          <w:tcPr>
            <w:tcW w:type="dxa" w:w="4986"/>
            <w:vAlign w:val="top"/>
          </w:tcPr>
          <w:p>
            <w:r/>
            <w:r>
              <w:rPr>
                <w:rFonts w:ascii="Calibri" w:hAnsi="Calibri"/>
                <w:b w:val="0"/>
                <w:i w:val="0"/>
                <w:color w:val="000000"/>
                <w:sz w:val="18"/>
              </w:rPr>
              <w:t>50–200</w:t>
            </w:r>
          </w:p>
        </w:tc>
      </w:tr>
      <w:tr>
        <w:tc>
          <w:tcPr>
            <w:tcW w:type="dxa" w:w="4986"/>
            <w:vAlign w:val="top"/>
          </w:tcPr>
          <w:p>
            <w:r/>
            <w:r>
              <w:rPr>
                <w:rFonts w:ascii="Calibri" w:hAnsi="Calibri"/>
                <w:b w:val="0"/>
                <w:i w:val="0"/>
                <w:color w:val="000000"/>
                <w:sz w:val="18"/>
              </w:rPr>
              <w:t>Neo4j Cypher queries / sec</w:t>
            </w:r>
          </w:p>
        </w:tc>
        <w:tc>
          <w:tcPr>
            <w:tcW w:type="dxa" w:w="4986"/>
            <w:vAlign w:val="top"/>
          </w:tcPr>
          <w:p>
            <w:r/>
            <w:r>
              <w:rPr>
                <w:rFonts w:ascii="Calibri" w:hAnsi="Calibri"/>
                <w:b w:val="0"/>
                <w:i w:val="0"/>
                <w:color w:val="000000"/>
                <w:sz w:val="18"/>
              </w:rPr>
              <w:t>200–500 (warm pagecache)</w:t>
            </w:r>
          </w:p>
        </w:tc>
      </w:tr>
      <w:tr>
        <w:tc>
          <w:tcPr>
            <w:tcW w:type="dxa" w:w="4986"/>
            <w:vAlign w:val="top"/>
          </w:tcPr>
          <w:p>
            <w:r/>
            <w:r>
              <w:rPr>
                <w:rFonts w:ascii="Calibri" w:hAnsi="Calibri"/>
                <w:b w:val="0"/>
                <w:i w:val="0"/>
                <w:color w:val="000000"/>
                <w:sz w:val="18"/>
              </w:rPr>
              <w:t>Agent requests / minute</w:t>
            </w:r>
          </w:p>
        </w:tc>
        <w:tc>
          <w:tcPr>
            <w:tcW w:type="dxa" w:w="4986"/>
            <w:vAlign w:val="top"/>
          </w:tcPr>
          <w:p>
            <w:r/>
            <w:r>
              <w:rPr>
                <w:rFonts w:ascii="Calibri" w:hAnsi="Calibri"/>
                <w:b w:val="0"/>
                <w:i w:val="0"/>
                <w:color w:val="000000"/>
                <w:sz w:val="18"/>
              </w:rPr>
              <w:t>20–60 (LLM-bound)</w:t>
            </w:r>
          </w:p>
        </w:tc>
      </w:tr>
    </w:tbl>
    <w:p/>
    <w:p>
      <w:pPr>
        <w:spacing w:before="200" w:after="80"/>
        <w:outlineLvl w:val="2"/>
      </w:pPr>
      <w:r>
        <w:rPr>
          <w:rFonts w:ascii="Calibri" w:hAnsi="Calibri"/>
          <w:b/>
          <w:i w:val="0"/>
          <w:color w:val="2E6DA4"/>
          <w:sz w:val="26"/>
        </w:rPr>
        <w:t>13.3  Bottlenecks</w:t>
      </w:r>
    </w:p>
    <w:p>
      <w:pPr>
        <w:spacing w:after="120"/>
        <w:jc w:val="both"/>
      </w:pPr>
      <w:r>
        <w:rPr>
          <w:rFonts w:ascii="Calibri" w:hAnsi="Calibri"/>
          <w:b w:val="0"/>
          <w:i w:val="0"/>
          <w:color w:val="000000"/>
          <w:sz w:val="21"/>
        </w:rPr>
        <w:t>Three latency bottlenecks dominate. First, LLM inference, which accounts for the bulk of agent multi-tool query time and is essentially out of the platform's control. Second, deep-hop fan-out, which is mitigated by the two-hop cap but should be reinforced with graph indexes on hot label/property combinations. Third, MCP transport overhead, which is small per call but accumulates over multi-tool flows; the audit recommends evaluating direct in-process tool execution for the top three highest-frequency tools.</w:t>
      </w:r>
    </w:p>
    <w:p>
      <w:pPr>
        <w:spacing w:before="200" w:after="80"/>
        <w:outlineLvl w:val="2"/>
      </w:pPr>
      <w:r>
        <w:rPr>
          <w:rFonts w:ascii="Calibri" w:hAnsi="Calibri"/>
          <w:b/>
          <w:i w:val="0"/>
          <w:color w:val="2E6DA4"/>
          <w:sz w:val="26"/>
        </w:rPr>
        <w:t>13.4  Findings</w:t>
      </w:r>
    </w:p>
    <w:p>
      <w:pPr>
        <w:spacing w:after="120"/>
        <w:jc w:val="both"/>
      </w:pPr>
      <w:r>
        <w:rPr>
          <w:rFonts w:ascii="Calibri" w:hAnsi="Calibri"/>
          <w:b w:val="0"/>
          <w:i w:val="0"/>
          <w:color w:val="000000"/>
          <w:sz w:val="21"/>
        </w:rPr>
        <w:t>Performance findings appear under the database (DB-01, DB-02, DB-03) section above. There is no LLM cost instrumentation today; this is tracked as an operational risk (OR-04) and is recommended for early remediation.</w:t>
      </w:r>
    </w:p>
    <w:p>
      <w:pPr>
        <w:spacing w:before="280" w:after="160"/>
        <w:outlineLvl w:val="1"/>
      </w:pPr>
      <w:r>
        <w:rPr>
          <w:rFonts w:ascii="Calibri" w:hAnsi="Calibri"/>
          <w:b/>
          <w:i w:val="0"/>
          <w:color w:val="1B3A6B"/>
          <w:sz w:val="34"/>
        </w:rPr>
        <w:t>Security Posture</w:t>
      </w:r>
    </w:p>
    <w:p>
      <w:pPr>
        <w:spacing w:before="200" w:after="80"/>
        <w:outlineLvl w:val="2"/>
      </w:pPr>
      <w:r>
        <w:rPr>
          <w:rFonts w:ascii="Calibri" w:hAnsi="Calibri"/>
          <w:b/>
          <w:i w:val="0"/>
          <w:color w:val="2E6DA4"/>
          <w:sz w:val="26"/>
        </w:rPr>
        <w:t>14.1  Threat Model</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Threat</w:t>
            </w:r>
          </w:p>
        </w:tc>
        <w:tc>
          <w:tcPr>
            <w:tcW w:type="dxa" w:w="3324"/>
            <w:shd w:val="clear" w:color="auto" w:fill="1B3A6B"/>
            <w:vAlign w:val="top"/>
          </w:tcPr>
          <w:p>
            <w:r/>
            <w:r>
              <w:rPr>
                <w:rFonts w:ascii="Calibri" w:hAnsi="Calibri"/>
                <w:b/>
                <w:i w:val="0"/>
                <w:color w:val="FFFFFF"/>
                <w:sz w:val="18"/>
              </w:rPr>
              <w:t>Mitigation</w:t>
            </w:r>
          </w:p>
        </w:tc>
        <w:tc>
          <w:tcPr>
            <w:tcW w:type="dxa" w:w="3324"/>
            <w:shd w:val="clear" w:color="auto" w:fill="1B3A6B"/>
            <w:vAlign w:val="top"/>
          </w:tcPr>
          <w:p>
            <w:r/>
            <w:r>
              <w:rPr>
                <w:rFonts w:ascii="Calibri" w:hAnsi="Calibri"/>
                <w:b/>
                <w:i w:val="0"/>
                <w:color w:val="FFFFFF"/>
                <w:sz w:val="18"/>
              </w:rPr>
              <w:t>Status</w:t>
            </w:r>
          </w:p>
        </w:tc>
      </w:tr>
      <w:tr>
        <w:tc>
          <w:tcPr>
            <w:tcW w:type="dxa" w:w="3324"/>
            <w:vAlign w:val="top"/>
          </w:tcPr>
          <w:p>
            <w:r/>
            <w:r>
              <w:rPr>
                <w:rFonts w:ascii="Calibri" w:hAnsi="Calibri"/>
                <w:b w:val="0"/>
                <w:i w:val="0"/>
                <w:color w:val="000000"/>
                <w:sz w:val="18"/>
              </w:rPr>
              <w:t>Cypher injection</w:t>
            </w:r>
          </w:p>
        </w:tc>
        <w:tc>
          <w:tcPr>
            <w:tcW w:type="dxa" w:w="3324"/>
            <w:vAlign w:val="top"/>
          </w:tcPr>
          <w:p>
            <w:r/>
            <w:r>
              <w:rPr>
                <w:rFonts w:ascii="Calibri" w:hAnsi="Calibri"/>
                <w:b w:val="0"/>
                <w:i w:val="0"/>
                <w:color w:val="000000"/>
                <w:sz w:val="18"/>
              </w:rPr>
              <w:t>Parameterised queries throughout</w:t>
            </w:r>
          </w:p>
        </w:tc>
        <w:tc>
          <w:tcPr>
            <w:tcW w:type="dxa" w:w="3324"/>
            <w:vAlign w:val="top"/>
          </w:tcPr>
          <w:p>
            <w:r/>
            <w:r>
              <w:rPr>
                <w:rFonts w:ascii="Calibri" w:hAnsi="Calibri"/>
                <w:b w:val="0"/>
                <w:i w:val="0"/>
                <w:color w:val="000000"/>
                <w:sz w:val="18"/>
              </w:rPr>
              <w:t>Strong</w:t>
            </w:r>
          </w:p>
        </w:tc>
      </w:tr>
      <w:tr>
        <w:tc>
          <w:tcPr>
            <w:tcW w:type="dxa" w:w="3324"/>
            <w:vAlign w:val="top"/>
          </w:tcPr>
          <w:p>
            <w:r/>
            <w:r>
              <w:rPr>
                <w:rFonts w:ascii="Calibri" w:hAnsi="Calibri"/>
                <w:b w:val="0"/>
                <w:i w:val="0"/>
                <w:color w:val="000000"/>
                <w:sz w:val="18"/>
              </w:rPr>
              <w:t>JWT tampering</w:t>
            </w:r>
          </w:p>
        </w:tc>
        <w:tc>
          <w:tcPr>
            <w:tcW w:type="dxa" w:w="3324"/>
            <w:vAlign w:val="top"/>
          </w:tcPr>
          <w:p>
            <w:r/>
            <w:r>
              <w:rPr>
                <w:rFonts w:ascii="Calibri" w:hAnsi="Calibri"/>
                <w:b w:val="0"/>
                <w:i w:val="0"/>
                <w:color w:val="000000"/>
                <w:sz w:val="18"/>
              </w:rPr>
              <w:t>HS256 signature; per-tier validation</w:t>
            </w:r>
          </w:p>
        </w:tc>
        <w:tc>
          <w:tcPr>
            <w:tcW w:type="dxa" w:w="3324"/>
            <w:vAlign w:val="top"/>
          </w:tcPr>
          <w:p>
            <w:r/>
            <w:r>
              <w:rPr>
                <w:rFonts w:ascii="Calibri" w:hAnsi="Calibri"/>
                <w:b w:val="0"/>
                <w:i w:val="0"/>
                <w:color w:val="000000"/>
                <w:sz w:val="18"/>
              </w:rPr>
              <w:t>Strong</w:t>
            </w:r>
          </w:p>
        </w:tc>
      </w:tr>
      <w:tr>
        <w:tc>
          <w:tcPr>
            <w:tcW w:type="dxa" w:w="3324"/>
            <w:vAlign w:val="top"/>
          </w:tcPr>
          <w:p>
            <w:r/>
            <w:r>
              <w:rPr>
                <w:rFonts w:ascii="Calibri" w:hAnsi="Calibri"/>
                <w:b w:val="0"/>
                <w:i w:val="0"/>
                <w:color w:val="000000"/>
                <w:sz w:val="18"/>
              </w:rPr>
              <w:t>MCP MITM</w:t>
            </w:r>
          </w:p>
        </w:tc>
        <w:tc>
          <w:tcPr>
            <w:tcW w:type="dxa" w:w="3324"/>
            <w:vAlign w:val="top"/>
          </w:tcPr>
          <w:p>
            <w:r/>
            <w:r>
              <w:rPr>
                <w:rFonts w:ascii="Calibri" w:hAnsi="Calibri"/>
                <w:b w:val="0"/>
                <w:i w:val="0"/>
                <w:color w:val="000000"/>
                <w:sz w:val="18"/>
              </w:rPr>
              <w:t>TLS — currently disabled (SEC-01)</w:t>
            </w:r>
          </w:p>
        </w:tc>
        <w:tc>
          <w:tcPr>
            <w:tcW w:type="dxa" w:w="3324"/>
            <w:vAlign w:val="top"/>
          </w:tcPr>
          <w:p>
            <w:r/>
            <w:r>
              <w:rPr>
                <w:rFonts w:ascii="Calibri" w:hAnsi="Calibri"/>
                <w:b w:val="0"/>
                <w:i w:val="0"/>
                <w:color w:val="000000"/>
                <w:sz w:val="18"/>
              </w:rPr>
              <w:t>GAP</w:t>
            </w:r>
          </w:p>
        </w:tc>
      </w:tr>
      <w:tr>
        <w:tc>
          <w:tcPr>
            <w:tcW w:type="dxa" w:w="3324"/>
            <w:vAlign w:val="top"/>
          </w:tcPr>
          <w:p>
            <w:r/>
            <w:r>
              <w:rPr>
                <w:rFonts w:ascii="Calibri" w:hAnsi="Calibri"/>
                <w:b w:val="0"/>
                <w:i w:val="0"/>
                <w:color w:val="000000"/>
                <w:sz w:val="18"/>
              </w:rPr>
              <w:t>Agent prompt injection</w:t>
            </w:r>
          </w:p>
        </w:tc>
        <w:tc>
          <w:tcPr>
            <w:tcW w:type="dxa" w:w="3324"/>
            <w:vAlign w:val="top"/>
          </w:tcPr>
          <w:p>
            <w:r/>
            <w:r>
              <w:rPr>
                <w:rFonts w:ascii="Calibri" w:hAnsi="Calibri"/>
                <w:b w:val="0"/>
                <w:i w:val="0"/>
                <w:color w:val="000000"/>
                <w:sz w:val="18"/>
              </w:rPr>
              <w:t>System-prompt scope, schema-validated tools</w:t>
            </w:r>
          </w:p>
        </w:tc>
        <w:tc>
          <w:tcPr>
            <w:tcW w:type="dxa" w:w="3324"/>
            <w:vAlign w:val="top"/>
          </w:tcPr>
          <w:p>
            <w:r/>
            <w:r>
              <w:rPr>
                <w:rFonts w:ascii="Calibri" w:hAnsi="Calibri"/>
                <w:b w:val="0"/>
                <w:i w:val="0"/>
                <w:color w:val="000000"/>
                <w:sz w:val="18"/>
              </w:rPr>
              <w:t>Adequate</w:t>
            </w:r>
          </w:p>
        </w:tc>
      </w:tr>
      <w:tr>
        <w:tc>
          <w:tcPr>
            <w:tcW w:type="dxa" w:w="3324"/>
            <w:vAlign w:val="top"/>
          </w:tcPr>
          <w:p>
            <w:r/>
            <w:r>
              <w:rPr>
                <w:rFonts w:ascii="Calibri" w:hAnsi="Calibri"/>
                <w:b w:val="0"/>
                <w:i w:val="0"/>
                <w:color w:val="000000"/>
                <w:sz w:val="18"/>
              </w:rPr>
              <w:t>Tool overreach (python_repl)</w:t>
            </w:r>
          </w:p>
        </w:tc>
        <w:tc>
          <w:tcPr>
            <w:tcW w:type="dxa" w:w="3324"/>
            <w:vAlign w:val="top"/>
          </w:tcPr>
          <w:p>
            <w:r/>
            <w:r>
              <w:rPr>
                <w:rFonts w:ascii="Calibri" w:hAnsi="Calibri"/>
                <w:b w:val="0"/>
                <w:i w:val="0"/>
                <w:color w:val="000000"/>
                <w:sz w:val="18"/>
              </w:rPr>
              <w:t>Tool always loaded (AGT-05)</w:t>
            </w:r>
          </w:p>
        </w:tc>
        <w:tc>
          <w:tcPr>
            <w:tcW w:type="dxa" w:w="3324"/>
            <w:vAlign w:val="top"/>
          </w:tcPr>
          <w:p>
            <w:r/>
            <w:r>
              <w:rPr>
                <w:rFonts w:ascii="Calibri" w:hAnsi="Calibri"/>
                <w:b w:val="0"/>
                <w:i w:val="0"/>
                <w:color w:val="000000"/>
                <w:sz w:val="18"/>
              </w:rPr>
              <w:t>GAP</w:t>
            </w:r>
          </w:p>
        </w:tc>
      </w:tr>
      <w:tr>
        <w:tc>
          <w:tcPr>
            <w:tcW w:type="dxa" w:w="3324"/>
            <w:vAlign w:val="top"/>
          </w:tcPr>
          <w:p>
            <w:r/>
            <w:r>
              <w:rPr>
                <w:rFonts w:ascii="Calibri" w:hAnsi="Calibri"/>
                <w:b w:val="0"/>
                <w:i w:val="0"/>
                <w:color w:val="000000"/>
                <w:sz w:val="18"/>
              </w:rPr>
              <w:t>DoS via concurrent requests</w:t>
            </w:r>
          </w:p>
        </w:tc>
        <w:tc>
          <w:tcPr>
            <w:tcW w:type="dxa" w:w="3324"/>
            <w:vAlign w:val="top"/>
          </w:tcPr>
          <w:p>
            <w:r/>
            <w:r>
              <w:rPr>
                <w:rFonts w:ascii="Calibri" w:hAnsi="Calibri"/>
                <w:b w:val="0"/>
                <w:i w:val="0"/>
                <w:color w:val="000000"/>
                <w:sz w:val="18"/>
              </w:rPr>
              <w:t>No rate limiting (SEC-03)</w:t>
            </w:r>
          </w:p>
        </w:tc>
        <w:tc>
          <w:tcPr>
            <w:tcW w:type="dxa" w:w="3324"/>
            <w:vAlign w:val="top"/>
          </w:tcPr>
          <w:p>
            <w:r/>
            <w:r>
              <w:rPr>
                <w:rFonts w:ascii="Calibri" w:hAnsi="Calibri"/>
                <w:b w:val="0"/>
                <w:i w:val="0"/>
                <w:color w:val="000000"/>
                <w:sz w:val="18"/>
              </w:rPr>
              <w:t>GAP</w:t>
            </w:r>
          </w:p>
        </w:tc>
      </w:tr>
      <w:tr>
        <w:tc>
          <w:tcPr>
            <w:tcW w:type="dxa" w:w="3324"/>
            <w:vAlign w:val="top"/>
          </w:tcPr>
          <w:p>
            <w:r/>
            <w:r>
              <w:rPr>
                <w:rFonts w:ascii="Calibri" w:hAnsi="Calibri"/>
                <w:b w:val="0"/>
                <w:i w:val="0"/>
                <w:color w:val="000000"/>
                <w:sz w:val="18"/>
              </w:rPr>
              <w:t>Container CVEs</w:t>
            </w:r>
          </w:p>
        </w:tc>
        <w:tc>
          <w:tcPr>
            <w:tcW w:type="dxa" w:w="3324"/>
            <w:vAlign w:val="top"/>
          </w:tcPr>
          <w:p>
            <w:r/>
            <w:r>
              <w:rPr>
                <w:rFonts w:ascii="Calibri" w:hAnsi="Calibri"/>
                <w:b w:val="0"/>
                <w:i w:val="0"/>
                <w:color w:val="000000"/>
                <w:sz w:val="18"/>
              </w:rPr>
              <w:t>No Trivy / ECR scan (recommended)</w:t>
            </w:r>
          </w:p>
        </w:tc>
        <w:tc>
          <w:tcPr>
            <w:tcW w:type="dxa" w:w="3324"/>
            <w:vAlign w:val="top"/>
          </w:tcPr>
          <w:p>
            <w:r/>
            <w:r>
              <w:rPr>
                <w:rFonts w:ascii="Calibri" w:hAnsi="Calibri"/>
                <w:b w:val="0"/>
                <w:i w:val="0"/>
                <w:color w:val="000000"/>
                <w:sz w:val="18"/>
              </w:rPr>
              <w:t>GAP</w:t>
            </w:r>
          </w:p>
        </w:tc>
      </w:tr>
      <w:tr>
        <w:tc>
          <w:tcPr>
            <w:tcW w:type="dxa" w:w="3324"/>
            <w:vAlign w:val="top"/>
          </w:tcPr>
          <w:p>
            <w:r/>
            <w:r>
              <w:rPr>
                <w:rFonts w:ascii="Calibri" w:hAnsi="Calibri"/>
                <w:b w:val="0"/>
                <w:i w:val="0"/>
                <w:color w:val="000000"/>
                <w:sz w:val="18"/>
              </w:rPr>
              <w:t>Dependency CVEs</w:t>
            </w:r>
          </w:p>
        </w:tc>
        <w:tc>
          <w:tcPr>
            <w:tcW w:type="dxa" w:w="3324"/>
            <w:vAlign w:val="top"/>
          </w:tcPr>
          <w:p>
            <w:r/>
            <w:r>
              <w:rPr>
                <w:rFonts w:ascii="Calibri" w:hAnsi="Calibri"/>
                <w:b w:val="0"/>
                <w:i w:val="0"/>
                <w:color w:val="000000"/>
                <w:sz w:val="18"/>
              </w:rPr>
              <w:t>No pip-audit (recommended)</w:t>
            </w:r>
          </w:p>
        </w:tc>
        <w:tc>
          <w:tcPr>
            <w:tcW w:type="dxa" w:w="3324"/>
            <w:vAlign w:val="top"/>
          </w:tcPr>
          <w:p>
            <w:r/>
            <w:r>
              <w:rPr>
                <w:rFonts w:ascii="Calibri" w:hAnsi="Calibri"/>
                <w:b w:val="0"/>
                <w:i w:val="0"/>
                <w:color w:val="000000"/>
                <w:sz w:val="18"/>
              </w:rPr>
              <w:t>GAP</w:t>
            </w:r>
          </w:p>
        </w:tc>
      </w:tr>
      <w:tr>
        <w:tc>
          <w:tcPr>
            <w:tcW w:type="dxa" w:w="3324"/>
            <w:vAlign w:val="top"/>
          </w:tcPr>
          <w:p>
            <w:r/>
            <w:r>
              <w:rPr>
                <w:rFonts w:ascii="Calibri" w:hAnsi="Calibri"/>
                <w:b w:val="0"/>
                <w:i w:val="0"/>
                <w:color w:val="000000"/>
                <w:sz w:val="18"/>
              </w:rPr>
              <w:t>JWT secret compromise</w:t>
            </w:r>
          </w:p>
        </w:tc>
        <w:tc>
          <w:tcPr>
            <w:tcW w:type="dxa" w:w="3324"/>
            <w:vAlign w:val="top"/>
          </w:tcPr>
          <w:p>
            <w:r/>
            <w:r>
              <w:rPr>
                <w:rFonts w:ascii="Calibri" w:hAnsi="Calibri"/>
                <w:b w:val="0"/>
                <w:i w:val="0"/>
                <w:color w:val="000000"/>
                <w:sz w:val="18"/>
              </w:rPr>
              <w:t>No rotation policy (TR-05)</w:t>
            </w:r>
          </w:p>
        </w:tc>
        <w:tc>
          <w:tcPr>
            <w:tcW w:type="dxa" w:w="3324"/>
            <w:vAlign w:val="top"/>
          </w:tcPr>
          <w:p>
            <w:r/>
            <w:r>
              <w:rPr>
                <w:rFonts w:ascii="Calibri" w:hAnsi="Calibri"/>
                <w:b w:val="0"/>
                <w:i w:val="0"/>
                <w:color w:val="000000"/>
                <w:sz w:val="18"/>
              </w:rPr>
              <w:t>GAP</w:t>
            </w:r>
          </w:p>
        </w:tc>
      </w:tr>
    </w:tbl>
    <w:p/>
    <w:p>
      <w:pPr>
        <w:spacing w:before="200" w:after="80"/>
        <w:outlineLvl w:val="2"/>
      </w:pPr>
      <w:r>
        <w:rPr>
          <w:rFonts w:ascii="Calibri" w:hAnsi="Calibri"/>
          <w:b/>
          <w:i w:val="0"/>
          <w:color w:val="2E6DA4"/>
          <w:sz w:val="26"/>
        </w:rPr>
        <w:t>14.2  PII / PHI</w:t>
      </w:r>
    </w:p>
    <w:p>
      <w:pPr>
        <w:spacing w:after="120"/>
        <w:jc w:val="both"/>
      </w:pPr>
      <w:r>
        <w:rPr>
          <w:rFonts w:ascii="Calibri" w:hAnsi="Calibri"/>
          <w:b w:val="0"/>
          <w:i w:val="0"/>
          <w:color w:val="000000"/>
          <w:sz w:val="21"/>
        </w:rPr>
        <w:t>There is no PII or PHI filtering today, in either inbound prompts or outbound responses. The current data set is bounded to public sources and internal CSL deal data with no patient-level information; nevertheless, the regulatory environment for biomedical AI (FDA 21 CFR Part 11; HIPAA where applicable) suggests that an AWS Comprehend-based redaction middleware should be in place before any patient-derived data is introduced.</w:t>
      </w:r>
    </w:p>
    <w:p>
      <w:pPr>
        <w:spacing w:before="280" w:after="160"/>
        <w:outlineLvl w:val="1"/>
      </w:pPr>
      <w:r>
        <w:rPr>
          <w:rFonts w:ascii="Calibri" w:hAnsi="Calibri"/>
          <w:b/>
          <w:i w:val="0"/>
          <w:color w:val="1B3A6B"/>
          <w:sz w:val="34"/>
        </w:rPr>
        <w:t>Code Quality and Engineering Discipline</w:t>
      </w:r>
    </w:p>
    <w:p>
      <w:pPr>
        <w:spacing w:before="200" w:after="80"/>
        <w:outlineLvl w:val="2"/>
      </w:pPr>
      <w:r>
        <w:rPr>
          <w:rFonts w:ascii="Calibri" w:hAnsi="Calibri"/>
          <w:b/>
          <w:i w:val="0"/>
          <w:color w:val="2E6DA4"/>
          <w:sz w:val="26"/>
        </w:rPr>
        <w:t>15.1  Style and Linting</w:t>
      </w:r>
    </w:p>
    <w:p>
      <w:pPr>
        <w:spacing w:after="120"/>
        <w:jc w:val="both"/>
      </w:pPr>
      <w:r>
        <w:rPr>
          <w:rFonts w:ascii="Calibri" w:hAnsi="Calibri"/>
          <w:b w:val="0"/>
          <w:i w:val="0"/>
          <w:color w:val="000000"/>
          <w:sz w:val="21"/>
        </w:rPr>
        <w:t>Black, Ruff, and isort are in use across the four service code bases. A pre-commit hook enforces formatting and import ordering before commit; the CI pipeline re-runs the same checks. Type hints are used throughout, with Pydantic v2 providing runtime validation at the API boundary.</w:t>
      </w:r>
    </w:p>
    <w:p>
      <w:pPr>
        <w:spacing w:before="200" w:after="80"/>
        <w:outlineLvl w:val="2"/>
      </w:pPr>
      <w:r>
        <w:rPr>
          <w:rFonts w:ascii="Calibri" w:hAnsi="Calibri"/>
          <w:b/>
          <w:i w:val="0"/>
          <w:color w:val="2E6DA4"/>
          <w:sz w:val="26"/>
        </w:rPr>
        <w:t>15.2  Tests</w:t>
      </w:r>
    </w:p>
    <w:p>
      <w:pPr>
        <w:spacing w:after="120"/>
        <w:jc w:val="both"/>
      </w:pPr>
      <w:r>
        <w:rPr>
          <w:rFonts w:ascii="Calibri" w:hAnsi="Calibri"/>
          <w:b w:val="0"/>
          <w:i w:val="0"/>
          <w:color w:val="000000"/>
          <w:sz w:val="21"/>
        </w:rPr>
        <w:t>Tests are co-located with the code they cover (graph_mapper.py / graph_mapper_test.py), with shared fixtures in per-package conftest.py. Pytest-xdist parallelises execution. A Neo4j testcontainer is used for integration tests; coverage is reported to reports/coverage/lcov.info.</w:t>
      </w:r>
    </w:p>
    <w:p>
      <w:pPr>
        <w:spacing w:before="200" w:after="80"/>
        <w:outlineLvl w:val="2"/>
      </w:pPr>
      <w:r>
        <w:rPr>
          <w:rFonts w:ascii="Calibri" w:hAnsi="Calibri"/>
          <w:b/>
          <w:i w:val="0"/>
          <w:color w:val="2E6DA4"/>
          <w:sz w:val="26"/>
        </w:rPr>
        <w:t>15.3  Evaluation</w:t>
      </w:r>
    </w:p>
    <w:p>
      <w:pPr>
        <w:spacing w:after="120"/>
        <w:jc w:val="both"/>
      </w:pPr>
      <w:r>
        <w:rPr>
          <w:rFonts w:ascii="Calibri" w:hAnsi="Calibri"/>
          <w:b w:val="0"/>
          <w:i w:val="0"/>
          <w:color w:val="000000"/>
          <w:sz w:val="21"/>
        </w:rPr>
        <w:t>Engineering discipline is high. The codebase reads consistently; reviewer burden is moderate; tests are present at both unit and integration levels. The two engineering improvements worth prioritising are (a) pip-audit in CI to catch vulnerable dependencies in the 175-package requirements file, and (b) end-to-end agent eval in MLflow as a regression baseline before any LLM model upgrade.</w:t>
      </w:r>
    </w:p>
    <w:p>
      <w:pPr>
        <w:spacing w:before="280" w:after="160"/>
        <w:outlineLvl w:val="1"/>
      </w:pPr>
      <w:r>
        <w:rPr>
          <w:rFonts w:ascii="Calibri" w:hAnsi="Calibri"/>
          <w:b/>
          <w:i w:val="0"/>
          <w:color w:val="1B3A6B"/>
          <w:sz w:val="34"/>
        </w:rPr>
        <w:t>Observability</w:t>
      </w:r>
    </w:p>
    <w:p>
      <w:pPr>
        <w:spacing w:before="200" w:after="80"/>
        <w:outlineLvl w:val="2"/>
      </w:pPr>
      <w:r>
        <w:rPr>
          <w:rFonts w:ascii="Calibri" w:hAnsi="Calibri"/>
          <w:b/>
          <w:i w:val="0"/>
          <w:color w:val="2E6DA4"/>
          <w:sz w:val="26"/>
        </w:rPr>
        <w:t>16.1  What Is Monitored</w:t>
      </w:r>
    </w:p>
    <w:p>
      <w:pPr>
        <w:pStyle w:val="ListBullet"/>
        <w:spacing w:after="40"/>
      </w:pPr>
      <w:r>
        <w:rPr>
          <w:rFonts w:ascii="Calibri" w:hAnsi="Calibri"/>
          <w:b w:val="0"/>
          <w:i w:val="0"/>
          <w:sz w:val="21"/>
        </w:rPr>
        <w:t>Liveness: each service exposes /health (returns 200 if the process is up).</w:t>
      </w:r>
    </w:p>
    <w:p>
      <w:pPr>
        <w:pStyle w:val="ListBullet"/>
        <w:spacing w:after="40"/>
      </w:pPr>
      <w:r>
        <w:rPr>
          <w:rFonts w:ascii="Calibri" w:hAnsi="Calibri"/>
          <w:b w:val="0"/>
          <w:i w:val="0"/>
          <w:sz w:val="21"/>
        </w:rPr>
        <w:t>API canaries: 5 of the 20 Core API endpoints are polled by the canaries service; CloudWatch alarms fire on failure.</w:t>
      </w:r>
    </w:p>
    <w:p>
      <w:pPr>
        <w:pStyle w:val="ListBullet"/>
        <w:spacing w:after="40"/>
      </w:pPr>
      <w:r>
        <w:rPr>
          <w:rFonts w:ascii="Calibri" w:hAnsi="Calibri"/>
          <w:b w:val="0"/>
          <w:i w:val="0"/>
          <w:sz w:val="21"/>
        </w:rPr>
        <w:t>Logs: ECS task stdout streams to CloudWatch in AWS; Docker logs locally.</w:t>
      </w:r>
    </w:p>
    <w:p>
      <w:pPr>
        <w:spacing w:before="200" w:after="80"/>
        <w:outlineLvl w:val="2"/>
      </w:pPr>
      <w:r>
        <w:rPr>
          <w:rFonts w:ascii="Calibri" w:hAnsi="Calibri"/>
          <w:b/>
          <w:i w:val="0"/>
          <w:color w:val="2E6DA4"/>
          <w:sz w:val="26"/>
        </w:rPr>
        <w:t>16.2  What Is Not Monitored</w:t>
      </w:r>
    </w:p>
    <w:p>
      <w:pPr>
        <w:pStyle w:val="ListBullet"/>
        <w:spacing w:after="40"/>
      </w:pPr>
      <w:r>
        <w:rPr>
          <w:rFonts w:ascii="Calibri" w:hAnsi="Calibri"/>
          <w:b w:val="0"/>
          <w:i w:val="0"/>
          <w:sz w:val="21"/>
        </w:rPr>
        <w:t>Structured logs — current logging is plain text, incompatible with CloudWatch Logs Insights queries.</w:t>
      </w:r>
    </w:p>
    <w:p>
      <w:pPr>
        <w:pStyle w:val="ListBullet"/>
        <w:spacing w:after="40"/>
      </w:pPr>
      <w:r>
        <w:rPr>
          <w:rFonts w:ascii="Calibri" w:hAnsi="Calibri"/>
          <w:b w:val="0"/>
          <w:i w:val="0"/>
          <w:sz w:val="21"/>
        </w:rPr>
        <w:t>Metrics — there is no Prometheus or CloudWatch metrics exporter; throughput, error rate, and latency are not captured at the application layer.</w:t>
      </w:r>
    </w:p>
    <w:p>
      <w:pPr>
        <w:pStyle w:val="ListBullet"/>
        <w:spacing w:after="40"/>
      </w:pPr>
      <w:r>
        <w:rPr>
          <w:rFonts w:ascii="Calibri" w:hAnsi="Calibri"/>
          <w:b w:val="0"/>
          <w:i w:val="0"/>
          <w:sz w:val="21"/>
        </w:rPr>
        <w:t>Distributed tracing — there is no OpenTelemetry / X-Ray integration; cross-service requests must be reconstructed by timestamp correlation.</w:t>
      </w:r>
    </w:p>
    <w:p>
      <w:pPr>
        <w:pStyle w:val="ListBullet"/>
        <w:spacing w:after="40"/>
      </w:pPr>
      <w:r>
        <w:rPr>
          <w:rFonts w:ascii="Calibri" w:hAnsi="Calibri"/>
          <w:b w:val="0"/>
          <w:i w:val="0"/>
          <w:sz w:val="21"/>
        </w:rPr>
        <w:t>LLM cost — token consumption and cost per query are not captured; per-user / per-team chargeback is not currently possible.</w:t>
      </w:r>
    </w:p>
    <w:p>
      <w:pPr>
        <w:pStyle w:val="ListBullet"/>
        <w:spacing w:after="40"/>
      </w:pPr>
      <w:r>
        <w:rPr>
          <w:rFonts w:ascii="Calibri" w:hAnsi="Calibri"/>
          <w:b w:val="0"/>
          <w:i w:val="0"/>
          <w:sz w:val="21"/>
        </w:rPr>
        <w:t>Deep health — /health does not check Neo4j, MCP, or LLM availability.</w:t>
      </w:r>
    </w:p>
    <w:p>
      <w:pPr>
        <w:spacing w:before="200" w:after="80"/>
        <w:outlineLvl w:val="2"/>
      </w:pPr>
      <w:r>
        <w:rPr>
          <w:rFonts w:ascii="Calibri" w:hAnsi="Calibri"/>
          <w:b/>
          <w:i w:val="0"/>
          <w:color w:val="2E6DA4"/>
          <w:sz w:val="26"/>
        </w:rPr>
        <w:t>16.3  Findings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Finding</w:t>
            </w:r>
          </w:p>
        </w:tc>
        <w:tc>
          <w:tcPr>
            <w:tcW w:type="dxa" w:w="3324"/>
            <w:shd w:val="clear" w:color="auto" w:fill="1B3A6B"/>
            <w:vAlign w:val="top"/>
          </w:tcPr>
          <w:p>
            <w:r/>
            <w:r>
              <w:rPr>
                <w:rFonts w:ascii="Calibri" w:hAnsi="Calibri"/>
                <w:b/>
                <w:i w:val="0"/>
                <w:color w:val="FFFFFF"/>
                <w:sz w:val="18"/>
              </w:rPr>
              <w:t>Severity</w:t>
            </w:r>
          </w:p>
        </w:tc>
        <w:tc>
          <w:tcPr>
            <w:tcW w:type="dxa" w:w="3324"/>
            <w:shd w:val="clear" w:color="auto" w:fill="1B3A6B"/>
            <w:vAlign w:val="top"/>
          </w:tcPr>
          <w:p>
            <w:r/>
            <w:r>
              <w:rPr>
                <w:rFonts w:ascii="Calibri" w:hAnsi="Calibri"/>
                <w:b/>
                <w:i w:val="0"/>
                <w:color w:val="FFFFFF"/>
                <w:sz w:val="18"/>
              </w:rPr>
              <w:t>Description</w:t>
            </w:r>
          </w:p>
        </w:tc>
      </w:tr>
      <w:tr>
        <w:tc>
          <w:tcPr>
            <w:tcW w:type="dxa" w:w="3324"/>
            <w:vAlign w:val="top"/>
          </w:tcPr>
          <w:p>
            <w:r/>
            <w:r>
              <w:rPr>
                <w:rFonts w:ascii="Calibri" w:hAnsi="Calibri"/>
                <w:b w:val="0"/>
                <w:i w:val="0"/>
                <w:color w:val="000000"/>
                <w:sz w:val="18"/>
              </w:rPr>
              <w:t>OBS-01</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No structured JSON logging.</w:t>
            </w:r>
          </w:p>
        </w:tc>
      </w:tr>
      <w:tr>
        <w:tc>
          <w:tcPr>
            <w:tcW w:type="dxa" w:w="3324"/>
            <w:vAlign w:val="top"/>
          </w:tcPr>
          <w:p>
            <w:r/>
            <w:r>
              <w:rPr>
                <w:rFonts w:ascii="Calibri" w:hAnsi="Calibri"/>
                <w:b w:val="0"/>
                <w:i w:val="0"/>
                <w:color w:val="000000"/>
                <w:sz w:val="18"/>
              </w:rPr>
              <w:t>OBS-02</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No metrics export.</w:t>
            </w:r>
          </w:p>
        </w:tc>
      </w:tr>
      <w:tr>
        <w:tc>
          <w:tcPr>
            <w:tcW w:type="dxa" w:w="3324"/>
            <w:vAlign w:val="top"/>
          </w:tcPr>
          <w:p>
            <w:r/>
            <w:r>
              <w:rPr>
                <w:rFonts w:ascii="Calibri" w:hAnsi="Calibri"/>
                <w:b w:val="0"/>
                <w:i w:val="0"/>
                <w:color w:val="000000"/>
                <w:sz w:val="18"/>
              </w:rPr>
              <w:t>OBS-03</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No distributed tracing.</w:t>
            </w:r>
          </w:p>
        </w:tc>
      </w:tr>
      <w:tr>
        <w:tc>
          <w:tcPr>
            <w:tcW w:type="dxa" w:w="3324"/>
            <w:vAlign w:val="top"/>
          </w:tcPr>
          <w:p>
            <w:r/>
            <w:r>
              <w:rPr>
                <w:rFonts w:ascii="Calibri" w:hAnsi="Calibri"/>
                <w:b w:val="0"/>
                <w:i w:val="0"/>
                <w:color w:val="000000"/>
                <w:sz w:val="18"/>
              </w:rPr>
              <w:t>OBS-04</w:t>
            </w:r>
          </w:p>
        </w:tc>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Shallow /health endpoints.</w:t>
            </w:r>
          </w:p>
        </w:tc>
      </w:tr>
    </w:tbl>
    <w:p/>
    <w:p>
      <w:pPr>
        <w:spacing w:before="280" w:after="160"/>
        <w:outlineLvl w:val="1"/>
      </w:pPr>
      <w:r>
        <w:rPr>
          <w:rFonts w:ascii="Calibri" w:hAnsi="Calibri"/>
          <w:b/>
          <w:i w:val="0"/>
          <w:color w:val="1B3A6B"/>
          <w:sz w:val="34"/>
        </w:rPr>
        <w:t>Operational Runbook</w:t>
      </w:r>
    </w:p>
    <w:p>
      <w:pPr>
        <w:spacing w:before="200" w:after="80"/>
        <w:outlineLvl w:val="2"/>
      </w:pPr>
      <w:r>
        <w:rPr>
          <w:rFonts w:ascii="Calibri" w:hAnsi="Calibri"/>
          <w:b/>
          <w:i w:val="0"/>
          <w:color w:val="2E6DA4"/>
          <w:sz w:val="26"/>
        </w:rPr>
        <w:t>17.1  Routine Operations</w:t>
      </w:r>
    </w:p>
    <w:p>
      <w:pPr>
        <w:pStyle w:val="ListBullet"/>
        <w:spacing w:after="40"/>
      </w:pPr>
      <w:r>
        <w:rPr>
          <w:rFonts w:ascii="Calibri" w:hAnsi="Calibri"/>
          <w:b w:val="0"/>
          <w:i w:val="0"/>
          <w:sz w:val="21"/>
        </w:rPr>
        <w:t>Deploy a new image: build via bin/docker/ecr/build.sh, push via bin/docker/ecr/push.sh, then aws ecs update-service --force-new-deployment.</w:t>
      </w:r>
    </w:p>
    <w:p>
      <w:pPr>
        <w:pStyle w:val="ListBullet"/>
        <w:spacing w:after="40"/>
      </w:pPr>
      <w:r>
        <w:rPr>
          <w:rFonts w:ascii="Calibri" w:hAnsi="Calibri"/>
          <w:b w:val="0"/>
          <w:i w:val="0"/>
          <w:sz w:val="21"/>
        </w:rPr>
        <w:t>Restart Neo4j after a heavy analytics query: documented in docs/maintenance.md; manual via ECS console.</w:t>
      </w:r>
    </w:p>
    <w:p>
      <w:pPr>
        <w:pStyle w:val="ListBullet"/>
        <w:spacing w:after="40"/>
      </w:pPr>
      <w:r>
        <w:rPr>
          <w:rFonts w:ascii="Calibri" w:hAnsi="Calibri"/>
          <w:b w:val="0"/>
          <w:i w:val="0"/>
          <w:sz w:val="21"/>
        </w:rPr>
        <w:t>Refresh ALB self-signed certificate: see scripts under bin/alb/.</w:t>
      </w:r>
    </w:p>
    <w:p>
      <w:pPr>
        <w:spacing w:before="200" w:after="80"/>
        <w:outlineLvl w:val="2"/>
      </w:pPr>
      <w:r>
        <w:rPr>
          <w:rFonts w:ascii="Calibri" w:hAnsi="Calibri"/>
          <w:b/>
          <w:i w:val="0"/>
          <w:color w:val="2E6DA4"/>
          <w:sz w:val="26"/>
        </w:rPr>
        <w:t>17.2  Manual Rotations</w:t>
      </w:r>
    </w:p>
    <w:p>
      <w:pPr>
        <w:spacing w:after="120"/>
        <w:jc w:val="both"/>
      </w:pPr>
      <w:r>
        <w:rPr>
          <w:rFonts w:ascii="Calibri" w:hAnsi="Calibri"/>
          <w:b w:val="0"/>
          <w:i w:val="0"/>
          <w:color w:val="000000"/>
          <w:sz w:val="21"/>
        </w:rPr>
        <w:t>Two rotations are currently manual and deserve attention. First, the JWT signing secret has no rotation policy; rotation requires coordinated restart across all four service tiers. Second, the Neo4j SSL certificate expires near year-end and is renewed manually. Both should be lifted into automated workflows; both are listed in the documented risk register.</w:t>
      </w:r>
    </w:p>
    <w:p>
      <w:pPr>
        <w:spacing w:before="200" w:after="80"/>
        <w:outlineLvl w:val="2"/>
      </w:pPr>
      <w:r>
        <w:rPr>
          <w:rFonts w:ascii="Calibri" w:hAnsi="Calibri"/>
          <w:b/>
          <w:i w:val="0"/>
          <w:color w:val="2E6DA4"/>
          <w:sz w:val="26"/>
        </w:rPr>
        <w:t>17.3  Common Issues</w:t>
      </w:r>
    </w:p>
    <w:p>
      <w:pPr>
        <w:pStyle w:val="ListBullet"/>
        <w:spacing w:after="40"/>
      </w:pPr>
      <w:r>
        <w:rPr>
          <w:rFonts w:ascii="Calibri" w:hAnsi="Calibri"/>
          <w:b w:val="0"/>
          <w:i w:val="0"/>
          <w:sz w:val="21"/>
        </w:rPr>
        <w:t>Network hiccups between developer laptops and the difflabs AWS environment, observed roughly once or twice per month, typically resolving within 10 minutes.</w:t>
      </w:r>
    </w:p>
    <w:p>
      <w:pPr>
        <w:pStyle w:val="ListBullet"/>
        <w:spacing w:after="40"/>
      </w:pPr>
      <w:r>
        <w:rPr>
          <w:rFonts w:ascii="Calibri" w:hAnsi="Calibri"/>
          <w:b w:val="0"/>
          <w:i w:val="0"/>
          <w:sz w:val="21"/>
        </w:rPr>
        <w:t>ALB target groups occasionally need a manual reset during deployments.</w:t>
      </w:r>
    </w:p>
    <w:p>
      <w:pPr>
        <w:pStyle w:val="ListBullet"/>
        <w:spacing w:after="40"/>
      </w:pPr>
      <w:r>
        <w:rPr>
          <w:rFonts w:ascii="Calibri" w:hAnsi="Calibri"/>
          <w:b w:val="0"/>
          <w:i w:val="0"/>
          <w:sz w:val="21"/>
        </w:rPr>
        <w:t>Similarity endpoint requires a projected graph that is built out-of-band; this projection is not persisted across Neo4j restart.</w:t>
      </w:r>
    </w:p>
    <w:p>
      <w:r>
        <w:br w:type="page"/>
      </w:r>
    </w:p>
    <w:p>
      <w:pPr>
        <w:spacing w:before="360" w:after="240"/>
        <w:outlineLvl w:val="0"/>
      </w:pPr>
      <w:r>
        <w:rPr>
          <w:rFonts w:ascii="Calibri" w:hAnsi="Calibri"/>
          <w:b/>
          <w:i w:val="0"/>
          <w:color w:val="A6192E"/>
          <w:sz w:val="48"/>
        </w:rPr>
        <w:t>Part V — Deployment and Environments</w:t>
      </w:r>
    </w:p>
    <w:p>
      <w:r>
        <w:br w:type="page"/>
      </w:r>
    </w:p>
    <w:p>
      <w:pPr>
        <w:spacing w:before="280" w:after="160"/>
        <w:outlineLvl w:val="1"/>
      </w:pPr>
      <w:r>
        <w:rPr>
          <w:rFonts w:ascii="Calibri" w:hAnsi="Calibri"/>
          <w:b/>
          <w:i w:val="0"/>
          <w:color w:val="1B3A6B"/>
          <w:sz w:val="34"/>
        </w:rPr>
        <w:t>AWS Topology</w:t>
      </w:r>
    </w:p>
    <w:p>
      <w:pPr>
        <w:spacing w:before="200" w:after="80"/>
        <w:outlineLvl w:val="2"/>
      </w:pPr>
      <w:r>
        <w:rPr>
          <w:rFonts w:ascii="Calibri" w:hAnsi="Calibri"/>
          <w:b/>
          <w:i w:val="0"/>
          <w:color w:val="2E6DA4"/>
          <w:sz w:val="26"/>
        </w:rPr>
        <w:t>18.1  Environment Matrix</w:t>
      </w:r>
    </w:p>
    <w:tbl>
      <w:tblPr>
        <w:tblStyle w:val="LightGrid-Accent1"/>
        <w:tblW w:type="auto" w:w="0"/>
        <w:jc w:val="center"/>
        <w:tblLook w:firstColumn="1" w:firstRow="1" w:lastColumn="0" w:lastRow="0" w:noHBand="0" w:noVBand="1" w:val="04A0"/>
      </w:tblPr>
      <w:tblGrid>
        <w:gridCol w:w="2493"/>
        <w:gridCol w:w="2493"/>
        <w:gridCol w:w="2493"/>
        <w:gridCol w:w="2493"/>
      </w:tblGrid>
      <w:tr>
        <w:tc>
          <w:tcPr>
            <w:tcW w:type="dxa" w:w="2493"/>
            <w:shd w:val="clear" w:color="auto" w:fill="1B3A6B"/>
            <w:vAlign w:val="top"/>
          </w:tcPr>
          <w:p>
            <w:r/>
            <w:r>
              <w:rPr>
                <w:rFonts w:ascii="Calibri" w:hAnsi="Calibri"/>
                <w:b/>
                <w:i w:val="0"/>
                <w:color w:val="FFFFFF"/>
                <w:sz w:val="18"/>
              </w:rPr>
              <w:t>Attribute</w:t>
            </w:r>
          </w:p>
        </w:tc>
        <w:tc>
          <w:tcPr>
            <w:tcW w:type="dxa" w:w="2493"/>
            <w:shd w:val="clear" w:color="auto" w:fill="1B3A6B"/>
            <w:vAlign w:val="top"/>
          </w:tcPr>
          <w:p>
            <w:r/>
            <w:r>
              <w:rPr>
                <w:rFonts w:ascii="Calibri" w:hAnsi="Calibri"/>
                <w:b/>
                <w:i w:val="0"/>
                <w:color w:val="FFFFFF"/>
                <w:sz w:val="18"/>
              </w:rPr>
              <w:t>Local</w:t>
            </w:r>
          </w:p>
        </w:tc>
        <w:tc>
          <w:tcPr>
            <w:tcW w:type="dxa" w:w="2493"/>
            <w:shd w:val="clear" w:color="auto" w:fill="1B3A6B"/>
            <w:vAlign w:val="top"/>
          </w:tcPr>
          <w:p>
            <w:r/>
            <w:r>
              <w:rPr>
                <w:rFonts w:ascii="Calibri" w:hAnsi="Calibri"/>
                <w:b/>
                <w:i w:val="0"/>
                <w:color w:val="FFFFFF"/>
                <w:sz w:val="18"/>
              </w:rPr>
              <w:t>Difflabs (Dev)</w:t>
            </w:r>
          </w:p>
        </w:tc>
        <w:tc>
          <w:tcPr>
            <w:tcW w:type="dxa" w:w="2493"/>
            <w:shd w:val="clear" w:color="auto" w:fill="1B3A6B"/>
            <w:vAlign w:val="top"/>
          </w:tcPr>
          <w:p>
            <w:r/>
            <w:r>
              <w:rPr>
                <w:rFonts w:ascii="Calibri" w:hAnsi="Calibri"/>
                <w:b/>
                <w:i w:val="0"/>
                <w:color w:val="FFFFFF"/>
                <w:sz w:val="18"/>
              </w:rPr>
              <w:t>AIA (Production)</w:t>
            </w:r>
          </w:p>
        </w:tc>
      </w:tr>
      <w:tr>
        <w:tc>
          <w:tcPr>
            <w:tcW w:type="dxa" w:w="2493"/>
            <w:vAlign w:val="top"/>
          </w:tcPr>
          <w:p>
            <w:r/>
            <w:r>
              <w:rPr>
                <w:rFonts w:ascii="Calibri" w:hAnsi="Calibri"/>
                <w:b w:val="0"/>
                <w:i w:val="0"/>
                <w:color w:val="000000"/>
                <w:sz w:val="18"/>
              </w:rPr>
              <w:t>Platform</w:t>
            </w:r>
          </w:p>
        </w:tc>
        <w:tc>
          <w:tcPr>
            <w:tcW w:type="dxa" w:w="2493"/>
            <w:vAlign w:val="top"/>
          </w:tcPr>
          <w:p>
            <w:r/>
            <w:r>
              <w:rPr>
                <w:rFonts w:ascii="Calibri" w:hAnsi="Calibri"/>
                <w:b w:val="0"/>
                <w:i w:val="0"/>
                <w:color w:val="000000"/>
                <w:sz w:val="18"/>
              </w:rPr>
              <w:t>Docker Compose</w:t>
            </w:r>
          </w:p>
        </w:tc>
        <w:tc>
          <w:tcPr>
            <w:tcW w:type="dxa" w:w="2493"/>
            <w:vAlign w:val="top"/>
          </w:tcPr>
          <w:p>
            <w:r/>
            <w:r>
              <w:rPr>
                <w:rFonts w:ascii="Calibri" w:hAnsi="Calibri"/>
                <w:b w:val="0"/>
                <w:i w:val="0"/>
                <w:color w:val="000000"/>
                <w:sz w:val="18"/>
              </w:rPr>
              <w:t>AWS ECS Fargate</w:t>
            </w:r>
          </w:p>
        </w:tc>
        <w:tc>
          <w:tcPr>
            <w:tcW w:type="dxa" w:w="2493"/>
            <w:vAlign w:val="top"/>
          </w:tcPr>
          <w:p>
            <w:r/>
            <w:r>
              <w:rPr>
                <w:rFonts w:ascii="Calibri" w:hAnsi="Calibri"/>
                <w:b w:val="0"/>
                <w:i w:val="0"/>
                <w:color w:val="000000"/>
                <w:sz w:val="18"/>
              </w:rPr>
              <w:t>AWS ECS Fargate</w:t>
            </w:r>
          </w:p>
        </w:tc>
      </w:tr>
      <w:tr>
        <w:tc>
          <w:tcPr>
            <w:tcW w:type="dxa" w:w="2493"/>
            <w:vAlign w:val="top"/>
          </w:tcPr>
          <w:p>
            <w:r/>
            <w:r>
              <w:rPr>
                <w:rFonts w:ascii="Calibri" w:hAnsi="Calibri"/>
                <w:b w:val="0"/>
                <w:i w:val="0"/>
                <w:color w:val="000000"/>
                <w:sz w:val="18"/>
              </w:rPr>
              <w:t>Region</w:t>
            </w:r>
          </w:p>
        </w:tc>
        <w:tc>
          <w:tcPr>
            <w:tcW w:type="dxa" w:w="2493"/>
            <w:vAlign w:val="top"/>
          </w:tcPr>
          <w:p>
            <w:r/>
            <w:r>
              <w:rPr>
                <w:rFonts w:ascii="Calibri" w:hAnsi="Calibri"/>
                <w:b w:val="0"/>
                <w:i w:val="0"/>
                <w:color w:val="000000"/>
                <w:sz w:val="18"/>
              </w:rPr>
              <w:t>—</w:t>
            </w:r>
          </w:p>
        </w:tc>
        <w:tc>
          <w:tcPr>
            <w:tcW w:type="dxa" w:w="2493"/>
            <w:vAlign w:val="top"/>
          </w:tcPr>
          <w:p>
            <w:r/>
            <w:r>
              <w:rPr>
                <w:rFonts w:ascii="Calibri" w:hAnsi="Calibri"/>
                <w:b w:val="0"/>
                <w:i w:val="0"/>
                <w:color w:val="000000"/>
                <w:sz w:val="18"/>
              </w:rPr>
              <w:t>us-east-1</w:t>
            </w:r>
          </w:p>
        </w:tc>
        <w:tc>
          <w:tcPr>
            <w:tcW w:type="dxa" w:w="2493"/>
            <w:vAlign w:val="top"/>
          </w:tcPr>
          <w:p>
            <w:r/>
            <w:r>
              <w:rPr>
                <w:rFonts w:ascii="Calibri" w:hAnsi="Calibri"/>
                <w:b w:val="0"/>
                <w:i w:val="0"/>
                <w:color w:val="000000"/>
                <w:sz w:val="18"/>
              </w:rPr>
              <w:t>eu-central-1</w:t>
            </w:r>
          </w:p>
        </w:tc>
      </w:tr>
      <w:tr>
        <w:tc>
          <w:tcPr>
            <w:tcW w:type="dxa" w:w="2493"/>
            <w:vAlign w:val="top"/>
          </w:tcPr>
          <w:p>
            <w:r/>
            <w:r>
              <w:rPr>
                <w:rFonts w:ascii="Calibri" w:hAnsi="Calibri"/>
                <w:b w:val="0"/>
                <w:i w:val="0"/>
                <w:color w:val="000000"/>
                <w:sz w:val="18"/>
              </w:rPr>
              <w:t>Account</w:t>
            </w:r>
          </w:p>
        </w:tc>
        <w:tc>
          <w:tcPr>
            <w:tcW w:type="dxa" w:w="2493"/>
            <w:vAlign w:val="top"/>
          </w:tcPr>
          <w:p>
            <w:r/>
            <w:r>
              <w:rPr>
                <w:rFonts w:ascii="Calibri" w:hAnsi="Calibri"/>
                <w:b w:val="0"/>
                <w:i w:val="0"/>
                <w:color w:val="000000"/>
                <w:sz w:val="18"/>
              </w:rPr>
              <w:t>—</w:t>
            </w:r>
          </w:p>
        </w:tc>
        <w:tc>
          <w:tcPr>
            <w:tcW w:type="dxa" w:w="2493"/>
            <w:vAlign w:val="top"/>
          </w:tcPr>
          <w:p>
            <w:r/>
            <w:r>
              <w:rPr>
                <w:rFonts w:ascii="Calibri" w:hAnsi="Calibri"/>
                <w:b w:val="0"/>
                <w:i w:val="0"/>
                <w:color w:val="000000"/>
                <w:sz w:val="18"/>
              </w:rPr>
              <w:t>087084717211</w:t>
            </w:r>
          </w:p>
        </w:tc>
        <w:tc>
          <w:tcPr>
            <w:tcW w:type="dxa" w:w="2493"/>
            <w:vAlign w:val="top"/>
          </w:tcPr>
          <w:p>
            <w:r/>
            <w:r>
              <w:rPr>
                <w:rFonts w:ascii="Calibri" w:hAnsi="Calibri"/>
                <w:b w:val="0"/>
                <w:i w:val="0"/>
                <w:color w:val="000000"/>
                <w:sz w:val="18"/>
              </w:rPr>
              <w:t>010928221940</w:t>
            </w:r>
          </w:p>
        </w:tc>
      </w:tr>
      <w:tr>
        <w:tc>
          <w:tcPr>
            <w:tcW w:type="dxa" w:w="2493"/>
            <w:vAlign w:val="top"/>
          </w:tcPr>
          <w:p>
            <w:r/>
            <w:r>
              <w:rPr>
                <w:rFonts w:ascii="Calibri" w:hAnsi="Calibri"/>
                <w:b w:val="0"/>
                <w:i w:val="0"/>
                <w:color w:val="000000"/>
                <w:sz w:val="18"/>
              </w:rPr>
              <w:t>Auth</w:t>
            </w:r>
          </w:p>
        </w:tc>
        <w:tc>
          <w:tcPr>
            <w:tcW w:type="dxa" w:w="2493"/>
            <w:vAlign w:val="top"/>
          </w:tcPr>
          <w:p>
            <w:r/>
            <w:r>
              <w:rPr>
                <w:rFonts w:ascii="Calibri" w:hAnsi="Calibri"/>
                <w:b w:val="0"/>
                <w:i w:val="0"/>
                <w:color w:val="000000"/>
                <w:sz w:val="18"/>
              </w:rPr>
              <w:t>Local JWT bypass</w:t>
            </w:r>
          </w:p>
        </w:tc>
        <w:tc>
          <w:tcPr>
            <w:tcW w:type="dxa" w:w="2493"/>
            <w:vAlign w:val="top"/>
          </w:tcPr>
          <w:p>
            <w:r/>
            <w:r>
              <w:rPr>
                <w:rFonts w:ascii="Calibri" w:hAnsi="Calibri"/>
                <w:b w:val="0"/>
                <w:i w:val="0"/>
                <w:color w:val="000000"/>
                <w:sz w:val="18"/>
              </w:rPr>
              <w:t>Entra ID</w:t>
            </w:r>
          </w:p>
        </w:tc>
        <w:tc>
          <w:tcPr>
            <w:tcW w:type="dxa" w:w="2493"/>
            <w:vAlign w:val="top"/>
          </w:tcPr>
          <w:p>
            <w:r/>
            <w:r>
              <w:rPr>
                <w:rFonts w:ascii="Calibri" w:hAnsi="Calibri"/>
                <w:b w:val="0"/>
                <w:i w:val="0"/>
                <w:color w:val="000000"/>
                <w:sz w:val="18"/>
              </w:rPr>
              <w:t>Entra ID</w:t>
            </w:r>
          </w:p>
        </w:tc>
      </w:tr>
      <w:tr>
        <w:tc>
          <w:tcPr>
            <w:tcW w:type="dxa" w:w="2493"/>
            <w:vAlign w:val="top"/>
          </w:tcPr>
          <w:p>
            <w:r/>
            <w:r>
              <w:rPr>
                <w:rFonts w:ascii="Calibri" w:hAnsi="Calibri"/>
                <w:b w:val="0"/>
                <w:i w:val="0"/>
                <w:color w:val="000000"/>
                <w:sz w:val="18"/>
              </w:rPr>
              <w:t>Neo4j</w:t>
            </w:r>
          </w:p>
        </w:tc>
        <w:tc>
          <w:tcPr>
            <w:tcW w:type="dxa" w:w="2493"/>
            <w:vAlign w:val="top"/>
          </w:tcPr>
          <w:p>
            <w:r/>
            <w:r>
              <w:rPr>
                <w:rFonts w:ascii="Calibri" w:hAnsi="Calibri"/>
                <w:b w:val="0"/>
                <w:i w:val="0"/>
                <w:color w:val="000000"/>
                <w:sz w:val="18"/>
              </w:rPr>
              <w:t>Container</w:t>
            </w:r>
          </w:p>
        </w:tc>
        <w:tc>
          <w:tcPr>
            <w:tcW w:type="dxa" w:w="2493"/>
            <w:vAlign w:val="top"/>
          </w:tcPr>
          <w:p>
            <w:r/>
            <w:r>
              <w:rPr>
                <w:rFonts w:ascii="Calibri" w:hAnsi="Calibri"/>
                <w:b w:val="0"/>
                <w:i w:val="0"/>
                <w:color w:val="000000"/>
                <w:sz w:val="18"/>
              </w:rPr>
              <w:t>ECS task</w:t>
            </w:r>
          </w:p>
        </w:tc>
        <w:tc>
          <w:tcPr>
            <w:tcW w:type="dxa" w:w="2493"/>
            <w:vAlign w:val="top"/>
          </w:tcPr>
          <w:p>
            <w:r/>
            <w:r>
              <w:rPr>
                <w:rFonts w:ascii="Calibri" w:hAnsi="Calibri"/>
                <w:b w:val="0"/>
                <w:i w:val="0"/>
                <w:color w:val="000000"/>
                <w:sz w:val="18"/>
              </w:rPr>
              <w:t>EC2 (manual)</w:t>
            </w:r>
          </w:p>
        </w:tc>
      </w:tr>
      <w:tr>
        <w:tc>
          <w:tcPr>
            <w:tcW w:type="dxa" w:w="2493"/>
            <w:vAlign w:val="top"/>
          </w:tcPr>
          <w:p>
            <w:r/>
            <w:r>
              <w:rPr>
                <w:rFonts w:ascii="Calibri" w:hAnsi="Calibri"/>
                <w:b w:val="0"/>
                <w:i w:val="0"/>
                <w:color w:val="000000"/>
                <w:sz w:val="18"/>
              </w:rPr>
              <w:t>Secrets</w:t>
            </w:r>
          </w:p>
        </w:tc>
        <w:tc>
          <w:tcPr>
            <w:tcW w:type="dxa" w:w="2493"/>
            <w:vAlign w:val="top"/>
          </w:tcPr>
          <w:p>
            <w:r/>
            <w:r>
              <w:rPr>
                <w:rFonts w:ascii="Calibri" w:hAnsi="Calibri"/>
                <w:b w:val="0"/>
                <w:i w:val="0"/>
                <w:color w:val="000000"/>
                <w:sz w:val="18"/>
              </w:rPr>
              <w:t>docker.env</w:t>
            </w:r>
          </w:p>
        </w:tc>
        <w:tc>
          <w:tcPr>
            <w:tcW w:type="dxa" w:w="2493"/>
            <w:vAlign w:val="top"/>
          </w:tcPr>
          <w:p>
            <w:r/>
            <w:r>
              <w:rPr>
                <w:rFonts w:ascii="Calibri" w:hAnsi="Calibri"/>
                <w:b w:val="0"/>
                <w:i w:val="0"/>
                <w:color w:val="000000"/>
                <w:sz w:val="18"/>
              </w:rPr>
              <w:t>Secrets Manager</w:t>
            </w:r>
          </w:p>
        </w:tc>
        <w:tc>
          <w:tcPr>
            <w:tcW w:type="dxa" w:w="2493"/>
            <w:vAlign w:val="top"/>
          </w:tcPr>
          <w:p>
            <w:r/>
            <w:r>
              <w:rPr>
                <w:rFonts w:ascii="Calibri" w:hAnsi="Calibri"/>
                <w:b w:val="0"/>
                <w:i w:val="0"/>
                <w:color w:val="000000"/>
                <w:sz w:val="18"/>
              </w:rPr>
              <w:t>Secrets Manager</w:t>
            </w:r>
          </w:p>
        </w:tc>
      </w:tr>
      <w:tr>
        <w:tc>
          <w:tcPr>
            <w:tcW w:type="dxa" w:w="2493"/>
            <w:vAlign w:val="top"/>
          </w:tcPr>
          <w:p>
            <w:r/>
            <w:r>
              <w:rPr>
                <w:rFonts w:ascii="Calibri" w:hAnsi="Calibri"/>
                <w:b w:val="0"/>
                <w:i w:val="0"/>
                <w:color w:val="000000"/>
                <w:sz w:val="18"/>
              </w:rPr>
              <w:t>TLS</w:t>
            </w:r>
          </w:p>
        </w:tc>
        <w:tc>
          <w:tcPr>
            <w:tcW w:type="dxa" w:w="2493"/>
            <w:vAlign w:val="top"/>
          </w:tcPr>
          <w:p>
            <w:r/>
            <w:r>
              <w:rPr>
                <w:rFonts w:ascii="Calibri" w:hAnsi="Calibri"/>
                <w:b w:val="0"/>
                <w:i w:val="0"/>
                <w:color w:val="000000"/>
                <w:sz w:val="18"/>
              </w:rPr>
              <w:t>Disabled</w:t>
            </w:r>
          </w:p>
        </w:tc>
        <w:tc>
          <w:tcPr>
            <w:tcW w:type="dxa" w:w="2493"/>
            <w:vAlign w:val="top"/>
          </w:tcPr>
          <w:p>
            <w:r/>
            <w:r>
              <w:rPr>
                <w:rFonts w:ascii="Calibri" w:hAnsi="Calibri"/>
                <w:b w:val="0"/>
                <w:i w:val="0"/>
                <w:color w:val="000000"/>
                <w:sz w:val="18"/>
              </w:rPr>
              <w:t>ALB-terminated</w:t>
            </w:r>
          </w:p>
        </w:tc>
        <w:tc>
          <w:tcPr>
            <w:tcW w:type="dxa" w:w="2493"/>
            <w:vAlign w:val="top"/>
          </w:tcPr>
          <w:p>
            <w:r/>
            <w:r>
              <w:rPr>
                <w:rFonts w:ascii="Calibri" w:hAnsi="Calibri"/>
                <w:b w:val="0"/>
                <w:i w:val="0"/>
                <w:color w:val="000000"/>
                <w:sz w:val="18"/>
              </w:rPr>
              <w:t>ALB-terminated</w:t>
            </w:r>
          </w:p>
        </w:tc>
      </w:tr>
      <w:tr>
        <w:tc>
          <w:tcPr>
            <w:tcW w:type="dxa" w:w="2493"/>
            <w:vAlign w:val="top"/>
          </w:tcPr>
          <w:p>
            <w:r/>
            <w:r>
              <w:rPr>
                <w:rFonts w:ascii="Calibri" w:hAnsi="Calibri"/>
                <w:b w:val="0"/>
                <w:i w:val="0"/>
                <w:color w:val="000000"/>
                <w:sz w:val="18"/>
              </w:rPr>
              <w:t>IaC root</w:t>
            </w:r>
          </w:p>
        </w:tc>
        <w:tc>
          <w:tcPr>
            <w:tcW w:type="dxa" w:w="2493"/>
            <w:vAlign w:val="top"/>
          </w:tcPr>
          <w:p>
            <w:r/>
            <w:r>
              <w:rPr>
                <w:rFonts w:ascii="Calibri" w:hAnsi="Calibri"/>
                <w:b w:val="0"/>
                <w:i w:val="0"/>
                <w:color w:val="000000"/>
                <w:sz w:val="18"/>
              </w:rPr>
              <w:t>—</w:t>
            </w:r>
          </w:p>
        </w:tc>
        <w:tc>
          <w:tcPr>
            <w:tcW w:type="dxa" w:w="2493"/>
            <w:vAlign w:val="top"/>
          </w:tcPr>
          <w:p>
            <w:r/>
            <w:r>
              <w:rPr>
                <w:rFonts w:ascii="Calibri" w:hAnsi="Calibri"/>
                <w:b w:val="0"/>
                <w:i w:val="0"/>
                <w:color w:val="000000"/>
                <w:sz w:val="18"/>
              </w:rPr>
              <w:t>difflabs/iac/</w:t>
            </w:r>
          </w:p>
        </w:tc>
        <w:tc>
          <w:tcPr>
            <w:tcW w:type="dxa" w:w="2493"/>
            <w:vAlign w:val="top"/>
          </w:tcPr>
          <w:p>
            <w:r/>
            <w:r>
              <w:rPr>
                <w:rFonts w:ascii="Calibri" w:hAnsi="Calibri"/>
                <w:b w:val="0"/>
                <w:i w:val="0"/>
                <w:color w:val="000000"/>
                <w:sz w:val="18"/>
              </w:rPr>
              <w:t>infrastructure/</w:t>
            </w:r>
          </w:p>
        </w:tc>
      </w:tr>
    </w:tbl>
    <w:p/>
    <w:p>
      <w:pPr>
        <w:spacing w:before="200" w:after="80"/>
        <w:outlineLvl w:val="2"/>
      </w:pPr>
      <w:r>
        <w:rPr>
          <w:rFonts w:ascii="Calibri" w:hAnsi="Calibri"/>
          <w:b/>
          <w:i w:val="0"/>
          <w:color w:val="2E6DA4"/>
          <w:sz w:val="26"/>
        </w:rPr>
        <w:t>18.2  Production Topology</w:t>
      </w:r>
    </w:p>
    <w:p>
      <w:pPr>
        <w:jc w:val="center"/>
      </w:pPr>
      <w:r>
        <w:drawing>
          <wp:inline xmlns:a="http://schemas.openxmlformats.org/drawingml/2006/main" xmlns:pic="http://schemas.openxmlformats.org/drawingml/2006/picture">
            <wp:extent cx="5943600" cy="3496710"/>
            <wp:docPr id="4" name="Picture 4"/>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5943600" cy="3496710"/>
                    </a:xfrm>
                    <a:prstGeom prst="rect"/>
                  </pic:spPr>
                </pic:pic>
              </a:graphicData>
            </a:graphic>
          </wp:inline>
        </w:drawing>
      </w:r>
    </w:p>
    <w:p>
      <w:pPr>
        <w:spacing w:after="120"/>
        <w:jc w:val="both"/>
      </w:pPr>
      <w:r>
        <w:rPr>
          <w:rFonts w:ascii="Calibri" w:hAnsi="Calibri"/>
          <w:b w:val="0"/>
          <w:i w:val="0"/>
          <w:color w:val="000000"/>
          <w:sz w:val="21"/>
        </w:rPr>
        <w:t>Each environment runs an internal-only ECS Fargate cluster behind an internal Application Load Balancer with TLS terminated at the ALB. Container images live in ECR (separate registries per environment). The production Neo4j is provisioned manually on EC2; staging Neo4j is an ECS task. Listener rules route /agent/api/* to the agent service, /agent/ui/* to the Streamlit UI, /docs and other root paths to the Core API.</w:t>
      </w:r>
    </w:p>
    <w:p>
      <w:pPr>
        <w:spacing w:before="200" w:after="80"/>
        <w:outlineLvl w:val="2"/>
      </w:pPr>
      <w:r>
        <w:rPr>
          <w:rFonts w:ascii="Calibri" w:hAnsi="Calibri"/>
          <w:b/>
          <w:i w:val="0"/>
          <w:color w:val="2E6DA4"/>
          <w:sz w:val="26"/>
        </w:rPr>
        <w:t>18.3  Terraform Module Structure</w:t>
      </w:r>
    </w:p>
    <w:p>
      <w:pPr>
        <w:pStyle w:val="ListBullet"/>
        <w:spacing w:after="40"/>
      </w:pPr>
      <w:r>
        <w:rPr>
          <w:rFonts w:ascii="Calibri" w:hAnsi="Calibri"/>
          <w:b w:val="0"/>
          <w:i w:val="0"/>
          <w:sz w:val="21"/>
        </w:rPr>
        <w:t>modules/eugene-services — ECS service and task definitions.</w:t>
      </w:r>
    </w:p>
    <w:p>
      <w:pPr>
        <w:pStyle w:val="ListBullet"/>
        <w:spacing w:after="40"/>
      </w:pPr>
      <w:r>
        <w:rPr>
          <w:rFonts w:ascii="Calibri" w:hAnsi="Calibri"/>
          <w:b w:val="0"/>
          <w:i w:val="0"/>
          <w:sz w:val="21"/>
        </w:rPr>
        <w:t>modules/eugene-containers — ECR repositories and image config.</w:t>
      </w:r>
    </w:p>
    <w:p>
      <w:pPr>
        <w:pStyle w:val="ListBullet"/>
        <w:spacing w:after="40"/>
      </w:pPr>
      <w:r>
        <w:rPr>
          <w:rFonts w:ascii="Calibri" w:hAnsi="Calibri"/>
          <w:b w:val="0"/>
          <w:i w:val="0"/>
          <w:sz w:val="21"/>
        </w:rPr>
        <w:t>modules/eugene-ec2 — EC2 baseline for cluster nodes.</w:t>
      </w:r>
    </w:p>
    <w:p>
      <w:pPr>
        <w:pStyle w:val="ListBullet"/>
        <w:spacing w:after="40"/>
      </w:pPr>
      <w:r>
        <w:rPr>
          <w:rFonts w:ascii="Calibri" w:hAnsi="Calibri"/>
          <w:b w:val="0"/>
          <w:i w:val="0"/>
          <w:sz w:val="21"/>
        </w:rPr>
        <w:t>modules/eugene-ecs-database — Neo4j ECS task and storage.</w:t>
      </w:r>
    </w:p>
    <w:p>
      <w:pPr>
        <w:pStyle w:val="ListBullet"/>
        <w:spacing w:after="40"/>
      </w:pPr>
      <w:r>
        <w:rPr>
          <w:rFonts w:ascii="Calibri" w:hAnsi="Calibri"/>
          <w:b w:val="0"/>
          <w:i w:val="0"/>
          <w:sz w:val="21"/>
        </w:rPr>
        <w:t>environments/ — environment-specific tfvars (qa, prod).</w:t>
      </w:r>
    </w:p>
    <w:p>
      <w:pPr>
        <w:spacing w:before="200" w:after="80"/>
        <w:outlineLvl w:val="2"/>
      </w:pPr>
      <w:r>
        <w:rPr>
          <w:rFonts w:ascii="Calibri" w:hAnsi="Calibri"/>
          <w:b/>
          <w:i w:val="0"/>
          <w:color w:val="2E6DA4"/>
          <w:sz w:val="26"/>
        </w:rPr>
        <w:t>18.4  CI / CD</w:t>
      </w:r>
    </w:p>
    <w:p>
      <w:pPr>
        <w:spacing w:after="120"/>
        <w:jc w:val="both"/>
      </w:pPr>
      <w:r>
        <w:rPr>
          <w:rFonts w:ascii="Calibri" w:hAnsi="Calibri"/>
          <w:b w:val="0"/>
          <w:i w:val="0"/>
          <w:color w:val="000000"/>
          <w:sz w:val="21"/>
        </w:rPr>
        <w:t>Code pushed to the repository triggers pre-commit hooks (Black, Ruff, isort), then GitHub Actions runs unit tests, integration tests against a Neo4j testcontainer, builds the Docker image, pushes to ECR, and runs a Terraform plan. Production deploys require a manual approval gate before Terraform apply triggers a rolling ECS update.</w:t>
      </w:r>
    </w:p>
    <w:p>
      <w:pPr>
        <w:spacing w:before="280" w:after="160"/>
        <w:outlineLvl w:val="1"/>
      </w:pPr>
      <w:r>
        <w:rPr>
          <w:rFonts w:ascii="Calibri" w:hAnsi="Calibri"/>
          <w:b/>
          <w:i w:val="0"/>
          <w:color w:val="1B3A6B"/>
          <w:sz w:val="34"/>
        </w:rPr>
        <w:t>Local Development</w:t>
      </w:r>
    </w:p>
    <w:p>
      <w:pPr>
        <w:spacing w:before="200" w:after="80"/>
        <w:outlineLvl w:val="2"/>
      </w:pPr>
      <w:r>
        <w:rPr>
          <w:rFonts w:ascii="Calibri" w:hAnsi="Calibri"/>
          <w:b/>
          <w:i w:val="0"/>
          <w:color w:val="2E6DA4"/>
          <w:sz w:val="26"/>
        </w:rPr>
        <w:t>19.1  Compose Layout</w:t>
      </w:r>
    </w:p>
    <w:p>
      <w:pPr>
        <w:spacing w:after="120"/>
        <w:jc w:val="both"/>
      </w:pPr>
      <w:r>
        <w:rPr>
          <w:rFonts w:ascii="Calibri" w:hAnsi="Calibri"/>
          <w:b w:val="0"/>
          <w:i w:val="0"/>
          <w:color w:val="000000"/>
          <w:sz w:val="21"/>
        </w:rPr>
        <w:t>docker-compose.yml at the repository root defines five services that start in dependency order via depends_on: condition: service_healthy: neo4j → eugene_ws → eugene_mcp → eugene_agent_ws → eugene_agent_ui. A second UI container, eugene-agent-ui-next, runs the Next.js v2 frontend on port 18502.</w:t>
      </w:r>
    </w:p>
    <w:p>
      <w:pPr>
        <w:spacing w:before="200" w:after="80"/>
        <w:outlineLvl w:val="2"/>
      </w:pPr>
      <w:r>
        <w:rPr>
          <w:rFonts w:ascii="Calibri" w:hAnsi="Calibri"/>
          <w:b/>
          <w:i w:val="0"/>
          <w:color w:val="2E6DA4"/>
          <w:sz w:val="26"/>
        </w:rPr>
        <w:t>19.2  Port Convention</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Service</w:t>
            </w:r>
          </w:p>
        </w:tc>
        <w:tc>
          <w:tcPr>
            <w:tcW w:type="dxa" w:w="3324"/>
            <w:shd w:val="clear" w:color="auto" w:fill="1B3A6B"/>
            <w:vAlign w:val="top"/>
          </w:tcPr>
          <w:p>
            <w:r/>
            <w:r>
              <w:rPr>
                <w:rFonts w:ascii="Calibri" w:hAnsi="Calibri"/>
                <w:b/>
                <w:i w:val="0"/>
                <w:color w:val="FFFFFF"/>
                <w:sz w:val="18"/>
              </w:rPr>
              <w:t>Local port</w:t>
            </w:r>
          </w:p>
        </w:tc>
        <w:tc>
          <w:tcPr>
            <w:tcW w:type="dxa" w:w="3324"/>
            <w:shd w:val="clear" w:color="auto" w:fill="1B3A6B"/>
            <w:vAlign w:val="top"/>
          </w:tcPr>
          <w:p>
            <w:r/>
            <w:r>
              <w:rPr>
                <w:rFonts w:ascii="Calibri" w:hAnsi="Calibri"/>
                <w:b/>
                <w:i w:val="0"/>
                <w:color w:val="FFFFFF"/>
                <w:sz w:val="18"/>
              </w:rPr>
              <w:t>Container port</w:t>
            </w:r>
          </w:p>
        </w:tc>
      </w:tr>
      <w:tr>
        <w:tc>
          <w:tcPr>
            <w:tcW w:type="dxa" w:w="3324"/>
            <w:vAlign w:val="top"/>
          </w:tcPr>
          <w:p>
            <w:r/>
            <w:r>
              <w:rPr>
                <w:rFonts w:ascii="Calibri" w:hAnsi="Calibri"/>
                <w:b w:val="0"/>
                <w:i w:val="0"/>
                <w:color w:val="000000"/>
                <w:sz w:val="18"/>
              </w:rPr>
              <w:t>Neo4j Browser</w:t>
            </w:r>
          </w:p>
        </w:tc>
        <w:tc>
          <w:tcPr>
            <w:tcW w:type="dxa" w:w="3324"/>
            <w:vAlign w:val="top"/>
          </w:tcPr>
          <w:p>
            <w:r/>
            <w:r>
              <w:rPr>
                <w:rFonts w:ascii="Calibri" w:hAnsi="Calibri"/>
                <w:b w:val="0"/>
                <w:i w:val="0"/>
                <w:color w:val="000000"/>
                <w:sz w:val="18"/>
              </w:rPr>
              <w:t>17474</w:t>
            </w:r>
          </w:p>
        </w:tc>
        <w:tc>
          <w:tcPr>
            <w:tcW w:type="dxa" w:w="3324"/>
            <w:vAlign w:val="top"/>
          </w:tcPr>
          <w:p>
            <w:r/>
            <w:r>
              <w:rPr>
                <w:rFonts w:ascii="Calibri" w:hAnsi="Calibri"/>
                <w:b w:val="0"/>
                <w:i w:val="0"/>
                <w:color w:val="000000"/>
                <w:sz w:val="18"/>
              </w:rPr>
              <w:t>7474</w:t>
            </w:r>
          </w:p>
        </w:tc>
      </w:tr>
      <w:tr>
        <w:tc>
          <w:tcPr>
            <w:tcW w:type="dxa" w:w="3324"/>
            <w:vAlign w:val="top"/>
          </w:tcPr>
          <w:p>
            <w:r/>
            <w:r>
              <w:rPr>
                <w:rFonts w:ascii="Calibri" w:hAnsi="Calibri"/>
                <w:b w:val="0"/>
                <w:i w:val="0"/>
                <w:color w:val="000000"/>
                <w:sz w:val="18"/>
              </w:rPr>
              <w:t>Neo4j Bolt</w:t>
            </w:r>
          </w:p>
        </w:tc>
        <w:tc>
          <w:tcPr>
            <w:tcW w:type="dxa" w:w="3324"/>
            <w:vAlign w:val="top"/>
          </w:tcPr>
          <w:p>
            <w:r/>
            <w:r>
              <w:rPr>
                <w:rFonts w:ascii="Calibri" w:hAnsi="Calibri"/>
                <w:b w:val="0"/>
                <w:i w:val="0"/>
                <w:color w:val="000000"/>
                <w:sz w:val="18"/>
              </w:rPr>
              <w:t>17687</w:t>
            </w:r>
          </w:p>
        </w:tc>
        <w:tc>
          <w:tcPr>
            <w:tcW w:type="dxa" w:w="3324"/>
            <w:vAlign w:val="top"/>
          </w:tcPr>
          <w:p>
            <w:r/>
            <w:r>
              <w:rPr>
                <w:rFonts w:ascii="Calibri" w:hAnsi="Calibri"/>
                <w:b w:val="0"/>
                <w:i w:val="0"/>
                <w:color w:val="000000"/>
                <w:sz w:val="18"/>
              </w:rPr>
              <w:t>7687</w:t>
            </w:r>
          </w:p>
        </w:tc>
      </w:tr>
      <w:tr>
        <w:tc>
          <w:tcPr>
            <w:tcW w:type="dxa" w:w="3324"/>
            <w:vAlign w:val="top"/>
          </w:tcPr>
          <w:p>
            <w:r/>
            <w:r>
              <w:rPr>
                <w:rFonts w:ascii="Calibri" w:hAnsi="Calibri"/>
                <w:b w:val="0"/>
                <w:i w:val="0"/>
                <w:color w:val="000000"/>
                <w:sz w:val="18"/>
              </w:rPr>
              <w:t>Core API</w:t>
            </w:r>
          </w:p>
        </w:tc>
        <w:tc>
          <w:tcPr>
            <w:tcW w:type="dxa" w:w="3324"/>
            <w:vAlign w:val="top"/>
          </w:tcPr>
          <w:p>
            <w:r/>
            <w:r>
              <w:rPr>
                <w:rFonts w:ascii="Calibri" w:hAnsi="Calibri"/>
                <w:b w:val="0"/>
                <w:i w:val="0"/>
                <w:color w:val="000000"/>
                <w:sz w:val="18"/>
              </w:rPr>
              <w:t>18000</w:t>
            </w:r>
          </w:p>
        </w:tc>
        <w:tc>
          <w:tcPr>
            <w:tcW w:type="dxa" w:w="3324"/>
            <w:vAlign w:val="top"/>
          </w:tcPr>
          <w:p>
            <w:r/>
            <w:r>
              <w:rPr>
                <w:rFonts w:ascii="Calibri" w:hAnsi="Calibri"/>
                <w:b w:val="0"/>
                <w:i w:val="0"/>
                <w:color w:val="000000"/>
                <w:sz w:val="18"/>
              </w:rPr>
              <w:t>8000</w:t>
            </w:r>
          </w:p>
        </w:tc>
      </w:tr>
      <w:tr>
        <w:tc>
          <w:tcPr>
            <w:tcW w:type="dxa" w:w="3324"/>
            <w:vAlign w:val="top"/>
          </w:tcPr>
          <w:p>
            <w:r/>
            <w:r>
              <w:rPr>
                <w:rFonts w:ascii="Calibri" w:hAnsi="Calibri"/>
                <w:b w:val="0"/>
                <w:i w:val="0"/>
                <w:color w:val="000000"/>
                <w:sz w:val="18"/>
              </w:rPr>
              <w:t>MCP Server</w:t>
            </w:r>
          </w:p>
        </w:tc>
        <w:tc>
          <w:tcPr>
            <w:tcW w:type="dxa" w:w="3324"/>
            <w:vAlign w:val="top"/>
          </w:tcPr>
          <w:p>
            <w:r/>
            <w:r>
              <w:rPr>
                <w:rFonts w:ascii="Calibri" w:hAnsi="Calibri"/>
                <w:b w:val="0"/>
                <w:i w:val="0"/>
                <w:color w:val="000000"/>
                <w:sz w:val="18"/>
              </w:rPr>
              <w:t>18443</w:t>
            </w:r>
          </w:p>
        </w:tc>
        <w:tc>
          <w:tcPr>
            <w:tcW w:type="dxa" w:w="3324"/>
            <w:vAlign w:val="top"/>
          </w:tcPr>
          <w:p>
            <w:r/>
            <w:r>
              <w:rPr>
                <w:rFonts w:ascii="Calibri" w:hAnsi="Calibri"/>
                <w:b w:val="0"/>
                <w:i w:val="0"/>
                <w:color w:val="000000"/>
                <w:sz w:val="18"/>
              </w:rPr>
              <w:t>8000</w:t>
            </w:r>
          </w:p>
        </w:tc>
      </w:tr>
      <w:tr>
        <w:tc>
          <w:tcPr>
            <w:tcW w:type="dxa" w:w="3324"/>
            <w:vAlign w:val="top"/>
          </w:tcPr>
          <w:p>
            <w:r/>
            <w:r>
              <w:rPr>
                <w:rFonts w:ascii="Calibri" w:hAnsi="Calibri"/>
                <w:b w:val="0"/>
                <w:i w:val="0"/>
                <w:color w:val="000000"/>
                <w:sz w:val="18"/>
              </w:rPr>
              <w:t>Agent Backend</w:t>
            </w:r>
          </w:p>
        </w:tc>
        <w:tc>
          <w:tcPr>
            <w:tcW w:type="dxa" w:w="3324"/>
            <w:vAlign w:val="top"/>
          </w:tcPr>
          <w:p>
            <w:r/>
            <w:r>
              <w:rPr>
                <w:rFonts w:ascii="Calibri" w:hAnsi="Calibri"/>
                <w:b w:val="0"/>
                <w:i w:val="0"/>
                <w:color w:val="000000"/>
                <w:sz w:val="18"/>
              </w:rPr>
              <w:t>18001</w:t>
            </w:r>
          </w:p>
        </w:tc>
        <w:tc>
          <w:tcPr>
            <w:tcW w:type="dxa" w:w="3324"/>
            <w:vAlign w:val="top"/>
          </w:tcPr>
          <w:p>
            <w:r/>
            <w:r>
              <w:rPr>
                <w:rFonts w:ascii="Calibri" w:hAnsi="Calibri"/>
                <w:b w:val="0"/>
                <w:i w:val="0"/>
                <w:color w:val="000000"/>
                <w:sz w:val="18"/>
              </w:rPr>
              <w:t>8000</w:t>
            </w:r>
          </w:p>
        </w:tc>
      </w:tr>
      <w:tr>
        <w:tc>
          <w:tcPr>
            <w:tcW w:type="dxa" w:w="3324"/>
            <w:vAlign w:val="top"/>
          </w:tcPr>
          <w:p>
            <w:r/>
            <w:r>
              <w:rPr>
                <w:rFonts w:ascii="Calibri" w:hAnsi="Calibri"/>
                <w:b w:val="0"/>
                <w:i w:val="0"/>
                <w:color w:val="000000"/>
                <w:sz w:val="18"/>
              </w:rPr>
              <w:t>Streamlit UI</w:t>
            </w:r>
          </w:p>
        </w:tc>
        <w:tc>
          <w:tcPr>
            <w:tcW w:type="dxa" w:w="3324"/>
            <w:vAlign w:val="top"/>
          </w:tcPr>
          <w:p>
            <w:r/>
            <w:r>
              <w:rPr>
                <w:rFonts w:ascii="Calibri" w:hAnsi="Calibri"/>
                <w:b w:val="0"/>
                <w:i w:val="0"/>
                <w:color w:val="000000"/>
                <w:sz w:val="18"/>
              </w:rPr>
              <w:t>18501</w:t>
            </w:r>
          </w:p>
        </w:tc>
        <w:tc>
          <w:tcPr>
            <w:tcW w:type="dxa" w:w="3324"/>
            <w:vAlign w:val="top"/>
          </w:tcPr>
          <w:p>
            <w:r/>
            <w:r>
              <w:rPr>
                <w:rFonts w:ascii="Calibri" w:hAnsi="Calibri"/>
                <w:b w:val="0"/>
                <w:i w:val="0"/>
                <w:color w:val="000000"/>
                <w:sz w:val="18"/>
              </w:rPr>
              <w:t>8501</w:t>
            </w:r>
          </w:p>
        </w:tc>
      </w:tr>
      <w:tr>
        <w:tc>
          <w:tcPr>
            <w:tcW w:type="dxa" w:w="3324"/>
            <w:vAlign w:val="top"/>
          </w:tcPr>
          <w:p>
            <w:r/>
            <w:r>
              <w:rPr>
                <w:rFonts w:ascii="Calibri" w:hAnsi="Calibri"/>
                <w:b w:val="0"/>
                <w:i w:val="0"/>
                <w:color w:val="000000"/>
                <w:sz w:val="18"/>
              </w:rPr>
              <w:t>Next.js UI (v2)</w:t>
            </w:r>
          </w:p>
        </w:tc>
        <w:tc>
          <w:tcPr>
            <w:tcW w:type="dxa" w:w="3324"/>
            <w:vAlign w:val="top"/>
          </w:tcPr>
          <w:p>
            <w:r/>
            <w:r>
              <w:rPr>
                <w:rFonts w:ascii="Calibri" w:hAnsi="Calibri"/>
                <w:b w:val="0"/>
                <w:i w:val="0"/>
                <w:color w:val="000000"/>
                <w:sz w:val="18"/>
              </w:rPr>
              <w:t>18502</w:t>
            </w:r>
          </w:p>
        </w:tc>
        <w:tc>
          <w:tcPr>
            <w:tcW w:type="dxa" w:w="3324"/>
            <w:vAlign w:val="top"/>
          </w:tcPr>
          <w:p>
            <w:r/>
            <w:r>
              <w:rPr>
                <w:rFonts w:ascii="Calibri" w:hAnsi="Calibri"/>
                <w:b w:val="0"/>
                <w:i w:val="0"/>
                <w:color w:val="000000"/>
                <w:sz w:val="18"/>
              </w:rPr>
              <w:t>18502</w:t>
            </w:r>
          </w:p>
        </w:tc>
      </w:tr>
    </w:tbl>
    <w:p/>
    <w:p>
      <w:pPr>
        <w:spacing w:before="200" w:after="80"/>
        <w:outlineLvl w:val="2"/>
      </w:pPr>
      <w:r>
        <w:rPr>
          <w:rFonts w:ascii="Calibri" w:hAnsi="Calibri"/>
          <w:b/>
          <w:i w:val="0"/>
          <w:color w:val="2E6DA4"/>
          <w:sz w:val="26"/>
        </w:rPr>
        <w:t>19.3  docker.env Pattern</w:t>
      </w:r>
    </w:p>
    <w:p>
      <w:pPr>
        <w:spacing w:after="120"/>
        <w:jc w:val="both"/>
      </w:pPr>
      <w:r>
        <w:rPr>
          <w:rFonts w:ascii="Calibri" w:hAnsi="Calibri"/>
          <w:b w:val="0"/>
          <w:i w:val="0"/>
          <w:color w:val="000000"/>
          <w:sz w:val="21"/>
        </w:rPr>
        <w:t>All configuration travels via docker.env (excluded from version control). Required keys include NEO4J_URI, NEO4J_USERNAME, NEO4J_PASSWORD, ENVIRONMENT (set to local for dev), EUGENE_CLIENT_SECRET, OPENAI_API_KEY and / or ANTHROPIC_API_KEY, LLM_PROVIDER, and EUGENE_MCP_SERVER_URL. The local stack can be pointed at the AWS-hosted Neo4j by overriding NEO4J_URI; corporate VPN required.</w:t>
      </w:r>
    </w:p>
    <w:p>
      <w:r>
        <w:br w:type="page"/>
      </w:r>
    </w:p>
    <w:p>
      <w:pPr>
        <w:spacing w:before="360" w:after="240"/>
        <w:outlineLvl w:val="0"/>
      </w:pPr>
      <w:r>
        <w:rPr>
          <w:rFonts w:ascii="Calibri" w:hAnsi="Calibri"/>
          <w:b/>
          <w:i w:val="0"/>
          <w:color w:val="A6192E"/>
          <w:sz w:val="48"/>
        </w:rPr>
        <w:t>Part VI — Risk, Conclusion and Appendices</w:t>
      </w:r>
    </w:p>
    <w:p>
      <w:r>
        <w:br w:type="page"/>
      </w:r>
    </w:p>
    <w:p>
      <w:pPr>
        <w:spacing w:before="280" w:after="160"/>
        <w:outlineLvl w:val="1"/>
      </w:pPr>
      <w:r>
        <w:rPr>
          <w:rFonts w:ascii="Calibri" w:hAnsi="Calibri"/>
          <w:b/>
          <w:i w:val="0"/>
          <w:color w:val="1B3A6B"/>
          <w:sz w:val="34"/>
        </w:rPr>
        <w:t>Documented Risk Register</w:t>
      </w:r>
    </w:p>
    <w:p>
      <w:pPr>
        <w:spacing w:before="200" w:after="80"/>
        <w:outlineLvl w:val="2"/>
      </w:pPr>
      <w:r>
        <w:rPr>
          <w:rFonts w:ascii="Calibri" w:hAnsi="Calibri"/>
          <w:b/>
          <w:i w:val="0"/>
          <w:color w:val="2E6DA4"/>
          <w:sz w:val="26"/>
        </w:rPr>
        <w:t>20.1  Technical Risks</w:t>
      </w:r>
    </w:p>
    <w:tbl>
      <w:tblPr>
        <w:tblStyle w:val="LightGrid-Accent1"/>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1B3A6B"/>
            <w:vAlign w:val="top"/>
          </w:tcPr>
          <w:p>
            <w:r/>
            <w:r>
              <w:rPr>
                <w:rFonts w:ascii="Calibri" w:hAnsi="Calibri"/>
                <w:b/>
                <w:i w:val="0"/>
                <w:color w:val="FFFFFF"/>
                <w:sz w:val="18"/>
              </w:rPr>
              <w:t>ID</w:t>
            </w:r>
          </w:p>
        </w:tc>
        <w:tc>
          <w:tcPr>
            <w:tcW w:type="dxa" w:w="1994"/>
            <w:shd w:val="clear" w:color="auto" w:fill="1B3A6B"/>
            <w:vAlign w:val="top"/>
          </w:tcPr>
          <w:p>
            <w:r/>
            <w:r>
              <w:rPr>
                <w:rFonts w:ascii="Calibri" w:hAnsi="Calibri"/>
                <w:b/>
                <w:i w:val="0"/>
                <w:color w:val="FFFFFF"/>
                <w:sz w:val="18"/>
              </w:rPr>
              <w:t>Risk</w:t>
            </w:r>
          </w:p>
        </w:tc>
        <w:tc>
          <w:tcPr>
            <w:tcW w:type="dxa" w:w="1994"/>
            <w:shd w:val="clear" w:color="auto" w:fill="1B3A6B"/>
            <w:vAlign w:val="top"/>
          </w:tcPr>
          <w:p>
            <w:r/>
            <w:r>
              <w:rPr>
                <w:rFonts w:ascii="Calibri" w:hAnsi="Calibri"/>
                <w:b/>
                <w:i w:val="0"/>
                <w:color w:val="FFFFFF"/>
                <w:sz w:val="18"/>
              </w:rPr>
              <w:t>L</w:t>
            </w:r>
          </w:p>
        </w:tc>
        <w:tc>
          <w:tcPr>
            <w:tcW w:type="dxa" w:w="1994"/>
            <w:shd w:val="clear" w:color="auto" w:fill="1B3A6B"/>
            <w:vAlign w:val="top"/>
          </w:tcPr>
          <w:p>
            <w:r/>
            <w:r>
              <w:rPr>
                <w:rFonts w:ascii="Calibri" w:hAnsi="Calibri"/>
                <w:b/>
                <w:i w:val="0"/>
                <w:color w:val="FFFFFF"/>
                <w:sz w:val="18"/>
              </w:rPr>
              <w:t>I</w:t>
            </w:r>
          </w:p>
        </w:tc>
        <w:tc>
          <w:tcPr>
            <w:tcW w:type="dxa" w:w="1994"/>
            <w:shd w:val="clear" w:color="auto" w:fill="1B3A6B"/>
            <w:vAlign w:val="top"/>
          </w:tcPr>
          <w:p>
            <w:r/>
            <w:r>
              <w:rPr>
                <w:rFonts w:ascii="Calibri" w:hAnsi="Calibri"/>
                <w:b/>
                <w:i w:val="0"/>
                <w:color w:val="FFFFFF"/>
                <w:sz w:val="18"/>
              </w:rPr>
              <w:t>Status</w:t>
            </w:r>
          </w:p>
        </w:tc>
      </w:tr>
      <w:tr>
        <w:tc>
          <w:tcPr>
            <w:tcW w:type="dxa" w:w="1994"/>
            <w:vAlign w:val="top"/>
          </w:tcPr>
          <w:p>
            <w:r/>
            <w:r>
              <w:rPr>
                <w:rFonts w:ascii="Calibri" w:hAnsi="Calibri"/>
                <w:b w:val="0"/>
                <w:i w:val="0"/>
                <w:color w:val="000000"/>
                <w:sz w:val="18"/>
              </w:rPr>
              <w:t>TR-01</w:t>
            </w:r>
          </w:p>
        </w:tc>
        <w:tc>
          <w:tcPr>
            <w:tcW w:type="dxa" w:w="1994"/>
            <w:vAlign w:val="top"/>
          </w:tcPr>
          <w:p>
            <w:r/>
            <w:r>
              <w:rPr>
                <w:rFonts w:ascii="Calibri" w:hAnsi="Calibri"/>
                <w:b w:val="0"/>
                <w:i w:val="0"/>
                <w:color w:val="000000"/>
                <w:sz w:val="18"/>
              </w:rPr>
              <w:t>LLM API rate limit under concurrent load</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Active</w:t>
            </w:r>
          </w:p>
        </w:tc>
      </w:tr>
      <w:tr>
        <w:tc>
          <w:tcPr>
            <w:tcW w:type="dxa" w:w="1994"/>
            <w:vAlign w:val="top"/>
          </w:tcPr>
          <w:p>
            <w:r/>
            <w:r>
              <w:rPr>
                <w:rFonts w:ascii="Calibri" w:hAnsi="Calibri"/>
                <w:b w:val="0"/>
                <w:i w:val="0"/>
                <w:color w:val="000000"/>
                <w:sz w:val="18"/>
              </w:rPr>
              <w:t>TR-02</w:t>
            </w:r>
          </w:p>
        </w:tc>
        <w:tc>
          <w:tcPr>
            <w:tcW w:type="dxa" w:w="1994"/>
            <w:vAlign w:val="top"/>
          </w:tcPr>
          <w:p>
            <w:r/>
            <w:r>
              <w:rPr>
                <w:rFonts w:ascii="Calibri" w:hAnsi="Calibri"/>
                <w:b w:val="0"/>
                <w:i w:val="0"/>
                <w:color w:val="000000"/>
                <w:sz w:val="18"/>
              </w:rPr>
              <w:t>Neo4j deep N-hop performance degradation</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Active</w:t>
            </w:r>
          </w:p>
        </w:tc>
      </w:tr>
      <w:tr>
        <w:tc>
          <w:tcPr>
            <w:tcW w:type="dxa" w:w="1994"/>
            <w:vAlign w:val="top"/>
          </w:tcPr>
          <w:p>
            <w:r/>
            <w:r>
              <w:rPr>
                <w:rFonts w:ascii="Calibri" w:hAnsi="Calibri"/>
                <w:b w:val="0"/>
                <w:i w:val="0"/>
                <w:color w:val="000000"/>
                <w:sz w:val="18"/>
              </w:rPr>
              <w:t>TR-03</w:t>
            </w:r>
          </w:p>
        </w:tc>
        <w:tc>
          <w:tcPr>
            <w:tcW w:type="dxa" w:w="1994"/>
            <w:vAlign w:val="top"/>
          </w:tcPr>
          <w:p>
            <w:r/>
            <w:r>
              <w:rPr>
                <w:rFonts w:ascii="Calibri" w:hAnsi="Calibri"/>
                <w:b w:val="0"/>
                <w:i w:val="0"/>
                <w:color w:val="000000"/>
                <w:sz w:val="18"/>
              </w:rPr>
              <w:t>Prompt injection via user input</w:t>
            </w:r>
          </w:p>
        </w:tc>
        <w:tc>
          <w:tcPr>
            <w:tcW w:type="dxa" w:w="1994"/>
            <w:vAlign w:val="top"/>
          </w:tcPr>
          <w:p>
            <w:r/>
            <w:r>
              <w:rPr>
                <w:rFonts w:ascii="Calibri" w:hAnsi="Calibri"/>
                <w:b w:val="0"/>
                <w:i w:val="0"/>
                <w:color w:val="000000"/>
                <w:sz w:val="18"/>
              </w:rPr>
              <w:t>Low</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Active</w:t>
            </w:r>
          </w:p>
        </w:tc>
      </w:tr>
      <w:tr>
        <w:tc>
          <w:tcPr>
            <w:tcW w:type="dxa" w:w="1994"/>
            <w:vAlign w:val="top"/>
          </w:tcPr>
          <w:p>
            <w:r/>
            <w:r>
              <w:rPr>
                <w:rFonts w:ascii="Calibri" w:hAnsi="Calibri"/>
                <w:b w:val="0"/>
                <w:i w:val="0"/>
                <w:color w:val="000000"/>
                <w:sz w:val="18"/>
              </w:rPr>
              <w:t>TR-04</w:t>
            </w:r>
          </w:p>
        </w:tc>
        <w:tc>
          <w:tcPr>
            <w:tcW w:type="dxa" w:w="1994"/>
            <w:vAlign w:val="top"/>
          </w:tcPr>
          <w:p>
            <w:r/>
            <w:r>
              <w:rPr>
                <w:rFonts w:ascii="Calibri" w:hAnsi="Calibri"/>
                <w:b w:val="0"/>
                <w:i w:val="0"/>
                <w:color w:val="000000"/>
                <w:sz w:val="18"/>
              </w:rPr>
              <w:t>Agent hallucination of biomedical data</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Active</w:t>
            </w:r>
          </w:p>
        </w:tc>
      </w:tr>
      <w:tr>
        <w:tc>
          <w:tcPr>
            <w:tcW w:type="dxa" w:w="1994"/>
            <w:vAlign w:val="top"/>
          </w:tcPr>
          <w:p>
            <w:r/>
            <w:r>
              <w:rPr>
                <w:rFonts w:ascii="Calibri" w:hAnsi="Calibri"/>
                <w:b w:val="0"/>
                <w:i w:val="0"/>
                <w:color w:val="000000"/>
                <w:sz w:val="18"/>
              </w:rPr>
              <w:t>TR-05</w:t>
            </w:r>
          </w:p>
        </w:tc>
        <w:tc>
          <w:tcPr>
            <w:tcW w:type="dxa" w:w="1994"/>
            <w:vAlign w:val="top"/>
          </w:tcPr>
          <w:p>
            <w:r/>
            <w:r>
              <w:rPr>
                <w:rFonts w:ascii="Calibri" w:hAnsi="Calibri"/>
                <w:b w:val="0"/>
                <w:i w:val="0"/>
                <w:color w:val="000000"/>
                <w:sz w:val="18"/>
              </w:rPr>
              <w:t>JWT secret compromise</w:t>
            </w:r>
          </w:p>
        </w:tc>
        <w:tc>
          <w:tcPr>
            <w:tcW w:type="dxa" w:w="1994"/>
            <w:vAlign w:val="top"/>
          </w:tcPr>
          <w:p>
            <w:r/>
            <w:r>
              <w:rPr>
                <w:rFonts w:ascii="Calibri" w:hAnsi="Calibri"/>
                <w:b w:val="0"/>
                <w:i w:val="0"/>
                <w:color w:val="000000"/>
                <w:sz w:val="18"/>
              </w:rPr>
              <w:t>Low</w:t>
            </w:r>
          </w:p>
        </w:tc>
        <w:tc>
          <w:tcPr>
            <w:tcW w:type="dxa" w:w="1994"/>
            <w:vAlign w:val="top"/>
          </w:tcPr>
          <w:p>
            <w:r/>
            <w:r>
              <w:rPr>
                <w:rFonts w:ascii="Calibri" w:hAnsi="Calibri"/>
                <w:b w:val="0"/>
                <w:i w:val="0"/>
                <w:color w:val="000000"/>
                <w:sz w:val="18"/>
              </w:rPr>
              <w:t>Critical</w:t>
            </w:r>
          </w:p>
        </w:tc>
        <w:tc>
          <w:tcPr>
            <w:tcW w:type="dxa" w:w="1994"/>
            <w:vAlign w:val="top"/>
          </w:tcPr>
          <w:p>
            <w:r/>
            <w:r>
              <w:rPr>
                <w:rFonts w:ascii="Calibri" w:hAnsi="Calibri"/>
                <w:b w:val="0"/>
                <w:i w:val="0"/>
                <w:color w:val="000000"/>
                <w:sz w:val="18"/>
              </w:rPr>
              <w:t>Documented</w:t>
            </w:r>
          </w:p>
        </w:tc>
      </w:tr>
      <w:tr>
        <w:tc>
          <w:tcPr>
            <w:tcW w:type="dxa" w:w="1994"/>
            <w:vAlign w:val="top"/>
          </w:tcPr>
          <w:p>
            <w:r/>
            <w:r>
              <w:rPr>
                <w:rFonts w:ascii="Calibri" w:hAnsi="Calibri"/>
                <w:b w:val="0"/>
                <w:i w:val="0"/>
                <w:color w:val="000000"/>
                <w:sz w:val="18"/>
              </w:rPr>
              <w:t>TR-06</w:t>
            </w:r>
          </w:p>
        </w:tc>
        <w:tc>
          <w:tcPr>
            <w:tcW w:type="dxa" w:w="1994"/>
            <w:vAlign w:val="top"/>
          </w:tcPr>
          <w:p>
            <w:r/>
            <w:r>
              <w:rPr>
                <w:rFonts w:ascii="Calibri" w:hAnsi="Calibri"/>
                <w:b w:val="0"/>
                <w:i w:val="0"/>
                <w:color w:val="000000"/>
                <w:sz w:val="18"/>
              </w:rPr>
              <w:t>Dependency vulnerability in 175-pkg requirements</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Active</w:t>
            </w:r>
          </w:p>
        </w:tc>
      </w:tr>
      <w:tr>
        <w:tc>
          <w:tcPr>
            <w:tcW w:type="dxa" w:w="1994"/>
            <w:vAlign w:val="top"/>
          </w:tcPr>
          <w:p>
            <w:r/>
            <w:r>
              <w:rPr>
                <w:rFonts w:ascii="Calibri" w:hAnsi="Calibri"/>
                <w:b w:val="0"/>
                <w:i w:val="0"/>
                <w:color w:val="000000"/>
                <w:sz w:val="18"/>
              </w:rPr>
              <w:t>TR-07</w:t>
            </w:r>
          </w:p>
        </w:tc>
        <w:tc>
          <w:tcPr>
            <w:tcW w:type="dxa" w:w="1994"/>
            <w:vAlign w:val="top"/>
          </w:tcPr>
          <w:p>
            <w:r/>
            <w:r>
              <w:rPr>
                <w:rFonts w:ascii="Calibri" w:hAnsi="Calibri"/>
                <w:b w:val="0"/>
                <w:i w:val="0"/>
                <w:color w:val="000000"/>
                <w:sz w:val="18"/>
              </w:rPr>
              <w:t>Neo4j data loss on container restart</w:t>
            </w:r>
          </w:p>
        </w:tc>
        <w:tc>
          <w:tcPr>
            <w:tcW w:type="dxa" w:w="1994"/>
            <w:vAlign w:val="top"/>
          </w:tcPr>
          <w:p>
            <w:r/>
            <w:r>
              <w:rPr>
                <w:rFonts w:ascii="Calibri" w:hAnsi="Calibri"/>
                <w:b w:val="0"/>
                <w:i w:val="0"/>
                <w:color w:val="000000"/>
                <w:sz w:val="18"/>
              </w:rPr>
              <w:t>Low</w:t>
            </w:r>
          </w:p>
        </w:tc>
        <w:tc>
          <w:tcPr>
            <w:tcW w:type="dxa" w:w="1994"/>
            <w:vAlign w:val="top"/>
          </w:tcPr>
          <w:p>
            <w:r/>
            <w:r>
              <w:rPr>
                <w:rFonts w:ascii="Calibri" w:hAnsi="Calibri"/>
                <w:b w:val="0"/>
                <w:i w:val="0"/>
                <w:color w:val="000000"/>
                <w:sz w:val="18"/>
              </w:rPr>
              <w:t>Critical</w:t>
            </w:r>
          </w:p>
        </w:tc>
        <w:tc>
          <w:tcPr>
            <w:tcW w:type="dxa" w:w="1994"/>
            <w:vAlign w:val="top"/>
          </w:tcPr>
          <w:p>
            <w:r/>
            <w:r>
              <w:rPr>
                <w:rFonts w:ascii="Calibri" w:hAnsi="Calibri"/>
                <w:b w:val="0"/>
                <w:i w:val="0"/>
                <w:color w:val="000000"/>
                <w:sz w:val="18"/>
              </w:rPr>
              <w:t>Mitigated</w:t>
            </w:r>
          </w:p>
        </w:tc>
      </w:tr>
      <w:tr>
        <w:tc>
          <w:tcPr>
            <w:tcW w:type="dxa" w:w="1994"/>
            <w:vAlign w:val="top"/>
          </w:tcPr>
          <w:p>
            <w:r/>
            <w:r>
              <w:rPr>
                <w:rFonts w:ascii="Calibri" w:hAnsi="Calibri"/>
                <w:b w:val="0"/>
                <w:i w:val="0"/>
                <w:color w:val="000000"/>
                <w:sz w:val="18"/>
              </w:rPr>
              <w:t>TR-08</w:t>
            </w:r>
          </w:p>
        </w:tc>
        <w:tc>
          <w:tcPr>
            <w:tcW w:type="dxa" w:w="1994"/>
            <w:vAlign w:val="top"/>
          </w:tcPr>
          <w:p>
            <w:r/>
            <w:r>
              <w:rPr>
                <w:rFonts w:ascii="Calibri" w:hAnsi="Calibri"/>
                <w:b w:val="0"/>
                <w:i w:val="0"/>
                <w:color w:val="000000"/>
                <w:sz w:val="18"/>
              </w:rPr>
              <w:t>MCP server unavailability blocking all queries</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Planned</w:t>
            </w:r>
          </w:p>
        </w:tc>
      </w:tr>
    </w:tbl>
    <w:p/>
    <w:p>
      <w:pPr>
        <w:spacing w:before="200" w:after="80"/>
        <w:outlineLvl w:val="2"/>
      </w:pPr>
      <w:r>
        <w:rPr>
          <w:rFonts w:ascii="Calibri" w:hAnsi="Calibri"/>
          <w:b/>
          <w:i w:val="0"/>
          <w:color w:val="2E6DA4"/>
          <w:sz w:val="26"/>
        </w:rPr>
        <w:t>20.2  Operational Risks</w:t>
      </w:r>
    </w:p>
    <w:tbl>
      <w:tblPr>
        <w:tblStyle w:val="LightGrid-Accent1"/>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1B3A6B"/>
            <w:vAlign w:val="top"/>
          </w:tcPr>
          <w:p>
            <w:r/>
            <w:r>
              <w:rPr>
                <w:rFonts w:ascii="Calibri" w:hAnsi="Calibri"/>
                <w:b/>
                <w:i w:val="0"/>
                <w:color w:val="FFFFFF"/>
                <w:sz w:val="18"/>
              </w:rPr>
              <w:t>ID</w:t>
            </w:r>
          </w:p>
        </w:tc>
        <w:tc>
          <w:tcPr>
            <w:tcW w:type="dxa" w:w="1994"/>
            <w:shd w:val="clear" w:color="auto" w:fill="1B3A6B"/>
            <w:vAlign w:val="top"/>
          </w:tcPr>
          <w:p>
            <w:r/>
            <w:r>
              <w:rPr>
                <w:rFonts w:ascii="Calibri" w:hAnsi="Calibri"/>
                <w:b/>
                <w:i w:val="0"/>
                <w:color w:val="FFFFFF"/>
                <w:sz w:val="18"/>
              </w:rPr>
              <w:t>Risk</w:t>
            </w:r>
          </w:p>
        </w:tc>
        <w:tc>
          <w:tcPr>
            <w:tcW w:type="dxa" w:w="1994"/>
            <w:shd w:val="clear" w:color="auto" w:fill="1B3A6B"/>
            <w:vAlign w:val="top"/>
          </w:tcPr>
          <w:p>
            <w:r/>
            <w:r>
              <w:rPr>
                <w:rFonts w:ascii="Calibri" w:hAnsi="Calibri"/>
                <w:b/>
                <w:i w:val="0"/>
                <w:color w:val="FFFFFF"/>
                <w:sz w:val="18"/>
              </w:rPr>
              <w:t>L</w:t>
            </w:r>
          </w:p>
        </w:tc>
        <w:tc>
          <w:tcPr>
            <w:tcW w:type="dxa" w:w="1994"/>
            <w:shd w:val="clear" w:color="auto" w:fill="1B3A6B"/>
            <w:vAlign w:val="top"/>
          </w:tcPr>
          <w:p>
            <w:r/>
            <w:r>
              <w:rPr>
                <w:rFonts w:ascii="Calibri" w:hAnsi="Calibri"/>
                <w:b/>
                <w:i w:val="0"/>
                <w:color w:val="FFFFFF"/>
                <w:sz w:val="18"/>
              </w:rPr>
              <w:t>I</w:t>
            </w:r>
          </w:p>
        </w:tc>
        <w:tc>
          <w:tcPr>
            <w:tcW w:type="dxa" w:w="1994"/>
            <w:shd w:val="clear" w:color="auto" w:fill="1B3A6B"/>
            <w:vAlign w:val="top"/>
          </w:tcPr>
          <w:p>
            <w:r/>
            <w:r>
              <w:rPr>
                <w:rFonts w:ascii="Calibri" w:hAnsi="Calibri"/>
                <w:b/>
                <w:i w:val="0"/>
                <w:color w:val="FFFFFF"/>
                <w:sz w:val="18"/>
              </w:rPr>
              <w:t>Status</w:t>
            </w:r>
          </w:p>
        </w:tc>
      </w:tr>
      <w:tr>
        <w:tc>
          <w:tcPr>
            <w:tcW w:type="dxa" w:w="1994"/>
            <w:vAlign w:val="top"/>
          </w:tcPr>
          <w:p>
            <w:r/>
            <w:r>
              <w:rPr>
                <w:rFonts w:ascii="Calibri" w:hAnsi="Calibri"/>
                <w:b w:val="0"/>
                <w:i w:val="0"/>
                <w:color w:val="000000"/>
                <w:sz w:val="18"/>
              </w:rPr>
              <w:t>OR-01</w:t>
            </w:r>
          </w:p>
        </w:tc>
        <w:tc>
          <w:tcPr>
            <w:tcW w:type="dxa" w:w="1994"/>
            <w:vAlign w:val="top"/>
          </w:tcPr>
          <w:p>
            <w:r/>
            <w:r>
              <w:rPr>
                <w:rFonts w:ascii="Calibri" w:hAnsi="Calibri"/>
                <w:b w:val="0"/>
                <w:i w:val="0"/>
                <w:color w:val="000000"/>
                <w:sz w:val="18"/>
              </w:rPr>
              <w:t>Knowledge graph data staleness</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Active</w:t>
            </w:r>
          </w:p>
        </w:tc>
      </w:tr>
      <w:tr>
        <w:tc>
          <w:tcPr>
            <w:tcW w:type="dxa" w:w="1994"/>
            <w:vAlign w:val="top"/>
          </w:tcPr>
          <w:p>
            <w:r/>
            <w:r>
              <w:rPr>
                <w:rFonts w:ascii="Calibri" w:hAnsi="Calibri"/>
                <w:b w:val="0"/>
                <w:i w:val="0"/>
                <w:color w:val="000000"/>
                <w:sz w:val="18"/>
              </w:rPr>
              <w:t>OR-02</w:t>
            </w:r>
          </w:p>
        </w:tc>
        <w:tc>
          <w:tcPr>
            <w:tcW w:type="dxa" w:w="1994"/>
            <w:vAlign w:val="top"/>
          </w:tcPr>
          <w:p>
            <w:r/>
            <w:r>
              <w:rPr>
                <w:rFonts w:ascii="Calibri" w:hAnsi="Calibri"/>
                <w:b w:val="0"/>
                <w:i w:val="0"/>
                <w:color w:val="000000"/>
                <w:sz w:val="18"/>
              </w:rPr>
              <w:t>LLM model version change breaking behaviour</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Documented</w:t>
            </w:r>
          </w:p>
        </w:tc>
      </w:tr>
      <w:tr>
        <w:tc>
          <w:tcPr>
            <w:tcW w:type="dxa" w:w="1994"/>
            <w:vAlign w:val="top"/>
          </w:tcPr>
          <w:p>
            <w:r/>
            <w:r>
              <w:rPr>
                <w:rFonts w:ascii="Calibri" w:hAnsi="Calibri"/>
                <w:b w:val="0"/>
                <w:i w:val="0"/>
                <w:color w:val="000000"/>
                <w:sz w:val="18"/>
              </w:rPr>
              <w:t>OR-03</w:t>
            </w:r>
          </w:p>
        </w:tc>
        <w:tc>
          <w:tcPr>
            <w:tcW w:type="dxa" w:w="1994"/>
            <w:vAlign w:val="top"/>
          </w:tcPr>
          <w:p>
            <w:r/>
            <w:r>
              <w:rPr>
                <w:rFonts w:ascii="Calibri" w:hAnsi="Calibri"/>
                <w:b w:val="0"/>
                <w:i w:val="0"/>
                <w:color w:val="000000"/>
                <w:sz w:val="18"/>
              </w:rPr>
              <w:t>Entra ID tenant configuration drift</w:t>
            </w:r>
          </w:p>
        </w:tc>
        <w:tc>
          <w:tcPr>
            <w:tcW w:type="dxa" w:w="1994"/>
            <w:vAlign w:val="top"/>
          </w:tcPr>
          <w:p>
            <w:r/>
            <w:r>
              <w:rPr>
                <w:rFonts w:ascii="Calibri" w:hAnsi="Calibri"/>
                <w:b w:val="0"/>
                <w:i w:val="0"/>
                <w:color w:val="000000"/>
                <w:sz w:val="18"/>
              </w:rPr>
              <w:t>Low</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Planned</w:t>
            </w:r>
          </w:p>
        </w:tc>
      </w:tr>
      <w:tr>
        <w:tc>
          <w:tcPr>
            <w:tcW w:type="dxa" w:w="1994"/>
            <w:vAlign w:val="top"/>
          </w:tcPr>
          <w:p>
            <w:r/>
            <w:r>
              <w:rPr>
                <w:rFonts w:ascii="Calibri" w:hAnsi="Calibri"/>
                <w:b w:val="0"/>
                <w:i w:val="0"/>
                <w:color w:val="000000"/>
                <w:sz w:val="18"/>
              </w:rPr>
              <w:t>OR-04</w:t>
            </w:r>
          </w:p>
        </w:tc>
        <w:tc>
          <w:tcPr>
            <w:tcW w:type="dxa" w:w="1994"/>
            <w:vAlign w:val="top"/>
          </w:tcPr>
          <w:p>
            <w:r/>
            <w:r>
              <w:rPr>
                <w:rFonts w:ascii="Calibri" w:hAnsi="Calibri"/>
                <w:b w:val="0"/>
                <w:i w:val="0"/>
                <w:color w:val="000000"/>
                <w:sz w:val="18"/>
              </w:rPr>
              <w:t>AWS cost overrun from LLM API usage</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Active</w:t>
            </w:r>
          </w:p>
        </w:tc>
      </w:tr>
      <w:tr>
        <w:tc>
          <w:tcPr>
            <w:tcW w:type="dxa" w:w="1994"/>
            <w:vAlign w:val="top"/>
          </w:tcPr>
          <w:p>
            <w:r/>
            <w:r>
              <w:rPr>
                <w:rFonts w:ascii="Calibri" w:hAnsi="Calibri"/>
                <w:b w:val="0"/>
                <w:i w:val="0"/>
                <w:color w:val="000000"/>
                <w:sz w:val="18"/>
              </w:rPr>
              <w:t>OR-05</w:t>
            </w:r>
          </w:p>
        </w:tc>
        <w:tc>
          <w:tcPr>
            <w:tcW w:type="dxa" w:w="1994"/>
            <w:vAlign w:val="top"/>
          </w:tcPr>
          <w:p>
            <w:r/>
            <w:r>
              <w:rPr>
                <w:rFonts w:ascii="Calibri" w:hAnsi="Calibri"/>
                <w:b w:val="0"/>
                <w:i w:val="0"/>
                <w:color w:val="000000"/>
                <w:sz w:val="18"/>
              </w:rPr>
              <w:t>Single-region deployment (eu-central-1)</w:t>
            </w:r>
          </w:p>
        </w:tc>
        <w:tc>
          <w:tcPr>
            <w:tcW w:type="dxa" w:w="1994"/>
            <w:vAlign w:val="top"/>
          </w:tcPr>
          <w:p>
            <w:r/>
            <w:r>
              <w:rPr>
                <w:rFonts w:ascii="Calibri" w:hAnsi="Calibri"/>
                <w:b w:val="0"/>
                <w:i w:val="0"/>
                <w:color w:val="000000"/>
                <w:sz w:val="18"/>
              </w:rPr>
              <w:t>Low</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Documented</w:t>
            </w:r>
          </w:p>
        </w:tc>
      </w:tr>
    </w:tbl>
    <w:p/>
    <w:p>
      <w:pPr>
        <w:spacing w:before="200" w:after="80"/>
        <w:outlineLvl w:val="2"/>
      </w:pPr>
      <w:r>
        <w:rPr>
          <w:rFonts w:ascii="Calibri" w:hAnsi="Calibri"/>
          <w:b/>
          <w:i w:val="0"/>
          <w:color w:val="2E6DA4"/>
          <w:sz w:val="26"/>
        </w:rPr>
        <w:t>20.3  Mitigation Priority</w:t>
      </w:r>
    </w:p>
    <w:p>
      <w:pPr>
        <w:pStyle w:val="ListBullet"/>
        <w:spacing w:after="40"/>
      </w:pPr>
      <w:r>
        <w:rPr>
          <w:rFonts w:ascii="Calibri" w:hAnsi="Calibri"/>
          <w:b w:val="0"/>
          <w:i w:val="0"/>
          <w:sz w:val="21"/>
        </w:rPr>
        <w:t>Immediate action — TR-02 (deep query performance): graph indexes; the two-hop cap is already in place.</w:t>
      </w:r>
    </w:p>
    <w:p>
      <w:pPr>
        <w:pStyle w:val="ListBullet"/>
        <w:spacing w:after="40"/>
      </w:pPr>
      <w:r>
        <w:rPr>
          <w:rFonts w:ascii="Calibri" w:hAnsi="Calibri"/>
          <w:b w:val="0"/>
          <w:i w:val="0"/>
          <w:sz w:val="21"/>
        </w:rPr>
        <w:t>Monitor and plan — TR-05 (JWT compromise) and TR-07 (Neo4j data loss): rotation policy, S3 snapshot policy.</w:t>
      </w:r>
    </w:p>
    <w:p>
      <w:pPr>
        <w:pStyle w:val="ListBullet"/>
        <w:spacing w:after="40"/>
      </w:pPr>
      <w:r>
        <w:rPr>
          <w:rFonts w:ascii="Calibri" w:hAnsi="Calibri"/>
          <w:b w:val="0"/>
          <w:i w:val="0"/>
          <w:sz w:val="21"/>
        </w:rPr>
        <w:t>Planned improvements — TR-01, TR-04, TR-06 and OR-04: queueing, citation enforcement, pip-audit, cost instrumentation.</w:t>
      </w:r>
    </w:p>
    <w:p>
      <w:pPr>
        <w:spacing w:before="280" w:after="160"/>
        <w:outlineLvl w:val="1"/>
      </w:pPr>
      <w:r>
        <w:rPr>
          <w:rFonts w:ascii="Calibri" w:hAnsi="Calibri"/>
          <w:b/>
          <w:i w:val="0"/>
          <w:color w:val="1B3A6B"/>
          <w:sz w:val="34"/>
        </w:rPr>
        <w:t>Programme-Level Conclusion</w:t>
      </w:r>
    </w:p>
    <w:p>
      <w:pPr>
        <w:spacing w:before="200" w:after="80"/>
        <w:outlineLvl w:val="2"/>
      </w:pPr>
      <w:r>
        <w:rPr>
          <w:rFonts w:ascii="Calibri" w:hAnsi="Calibri"/>
          <w:b/>
          <w:i w:val="0"/>
          <w:color w:val="2E6DA4"/>
          <w:sz w:val="26"/>
        </w:rPr>
        <w:t>21.1  Where Eugene Stands</w:t>
      </w:r>
    </w:p>
    <w:p>
      <w:pPr>
        <w:spacing w:after="120"/>
        <w:jc w:val="both"/>
      </w:pPr>
      <w:r>
        <w:rPr>
          <w:rFonts w:ascii="Calibri" w:hAnsi="Calibri"/>
          <w:b w:val="0"/>
          <w:i w:val="0"/>
          <w:color w:val="000000"/>
          <w:sz w:val="21"/>
        </w:rPr>
        <w:t>Eugene is a credible, well-architected first generation of CSL's biomedical agentic platform. The choice of microservice + DDD + hexagonal patterns has paid dividends in clarity and testability; the Strands ReAct agent provides flexible reasoning over a constrained tool surface; and the Neo4j-centric data model captures relationships that flat search cannot.</w:t>
      </w:r>
    </w:p>
    <w:p>
      <w:pPr>
        <w:spacing w:before="200" w:after="80"/>
        <w:outlineLvl w:val="2"/>
      </w:pPr>
      <w:r>
        <w:rPr>
          <w:rFonts w:ascii="Calibri" w:hAnsi="Calibri"/>
          <w:b/>
          <w:i w:val="0"/>
          <w:color w:val="2E6DA4"/>
          <w:sz w:val="26"/>
        </w:rPr>
        <w:t>21.2  Where the Gaps Lie</w:t>
      </w:r>
    </w:p>
    <w:p>
      <w:pPr>
        <w:spacing w:after="120"/>
        <w:jc w:val="both"/>
      </w:pPr>
      <w:r>
        <w:rPr>
          <w:rFonts w:ascii="Calibri" w:hAnsi="Calibri"/>
          <w:b w:val="0"/>
          <w:i w:val="0"/>
          <w:color w:val="000000"/>
          <w:sz w:val="21"/>
        </w:rPr>
        <w:t>The platform is missing the operational and security spine that an enterprise rollout demands: deep observability, explicit timeouts, tested backups, RBAC on sensitive data, and a path away from monolithic agent reasoning toward a specialist-agent topology. None of these gaps are surprises — they are documented in the source materials and reproduced in this evaluation. They are a programme of work, not a re-architecture.</w:t>
      </w:r>
    </w:p>
    <w:p>
      <w:pPr>
        <w:spacing w:before="200" w:after="80"/>
        <w:outlineLvl w:val="2"/>
      </w:pPr>
      <w:r>
        <w:rPr>
          <w:rFonts w:ascii="Calibri" w:hAnsi="Calibri"/>
          <w:b/>
          <w:i w:val="0"/>
          <w:color w:val="2E6DA4"/>
          <w:sz w:val="26"/>
        </w:rPr>
        <w:t>21.3  Recommendation</w:t>
      </w:r>
    </w:p>
    <w:p>
      <w:pPr>
        <w:spacing w:after="120"/>
        <w:jc w:val="both"/>
      </w:pPr>
      <w:r>
        <w:rPr>
          <w:rFonts w:ascii="Calibri" w:hAnsi="Calibri"/>
          <w:b w:val="0"/>
          <w:i w:val="0"/>
          <w:color w:val="000000"/>
          <w:sz w:val="21"/>
        </w:rPr>
        <w:t>We recommend proceeding to the four-phase remediation and next-generation roadmap set out in the companion document, with the eight-week security and operational backbone as the first commitment. The platform's architectural strengths mean that hardening work compounds rather than displaces what already works. With those investments, Eugene transitions from a credible internal tool to a strategic CSL asset.</w:t>
      </w:r>
    </w:p>
    <w:p>
      <w:pPr>
        <w:spacing w:before="280" w:after="160"/>
        <w:outlineLvl w:val="1"/>
      </w:pPr>
      <w:r>
        <w:rPr>
          <w:rFonts w:ascii="Calibri" w:hAnsi="Calibri"/>
          <w:b/>
          <w:i w:val="0"/>
          <w:color w:val="1B3A6B"/>
          <w:sz w:val="34"/>
        </w:rPr>
        <w:t>Appendix A — Glossary</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Term</w:t>
            </w:r>
          </w:p>
        </w:tc>
        <w:tc>
          <w:tcPr>
            <w:tcW w:type="dxa" w:w="4986"/>
            <w:shd w:val="clear" w:color="auto" w:fill="1B3A6B"/>
            <w:vAlign w:val="top"/>
          </w:tcPr>
          <w:p>
            <w:r/>
            <w:r>
              <w:rPr>
                <w:rFonts w:ascii="Calibri" w:hAnsi="Calibri"/>
                <w:b/>
                <w:i w:val="0"/>
                <w:color w:val="FFFFFF"/>
                <w:sz w:val="18"/>
              </w:rPr>
              <w:t>Meaning</w:t>
            </w:r>
          </w:p>
        </w:tc>
      </w:tr>
      <w:tr>
        <w:tc>
          <w:tcPr>
            <w:tcW w:type="dxa" w:w="4986"/>
            <w:vAlign w:val="top"/>
          </w:tcPr>
          <w:p>
            <w:r/>
            <w:r>
              <w:rPr>
                <w:rFonts w:ascii="Calibri" w:hAnsi="Calibri"/>
                <w:b w:val="0"/>
                <w:i w:val="0"/>
                <w:color w:val="000000"/>
                <w:sz w:val="18"/>
              </w:rPr>
              <w:t>ALB</w:t>
            </w:r>
          </w:p>
        </w:tc>
        <w:tc>
          <w:tcPr>
            <w:tcW w:type="dxa" w:w="4986"/>
            <w:vAlign w:val="top"/>
          </w:tcPr>
          <w:p>
            <w:r/>
            <w:r>
              <w:rPr>
                <w:rFonts w:ascii="Calibri" w:hAnsi="Calibri"/>
                <w:b w:val="0"/>
                <w:i w:val="0"/>
                <w:color w:val="000000"/>
                <w:sz w:val="18"/>
              </w:rPr>
              <w:t>Application Load Balancer (AWS)</w:t>
            </w:r>
          </w:p>
        </w:tc>
      </w:tr>
      <w:tr>
        <w:tc>
          <w:tcPr>
            <w:tcW w:type="dxa" w:w="4986"/>
            <w:vAlign w:val="top"/>
          </w:tcPr>
          <w:p>
            <w:r/>
            <w:r>
              <w:rPr>
                <w:rFonts w:ascii="Calibri" w:hAnsi="Calibri"/>
                <w:b w:val="0"/>
                <w:i w:val="0"/>
                <w:color w:val="000000"/>
                <w:sz w:val="18"/>
              </w:rPr>
              <w:t>APOC</w:t>
            </w:r>
          </w:p>
        </w:tc>
        <w:tc>
          <w:tcPr>
            <w:tcW w:type="dxa" w:w="4986"/>
            <w:vAlign w:val="top"/>
          </w:tcPr>
          <w:p>
            <w:r/>
            <w:r>
              <w:rPr>
                <w:rFonts w:ascii="Calibri" w:hAnsi="Calibri"/>
                <w:b w:val="0"/>
                <w:i w:val="0"/>
                <w:color w:val="000000"/>
                <w:sz w:val="18"/>
              </w:rPr>
              <w:t>Awesome Procedures On Cypher (Neo4j plugin library)</w:t>
            </w:r>
          </w:p>
        </w:tc>
      </w:tr>
      <w:tr>
        <w:tc>
          <w:tcPr>
            <w:tcW w:type="dxa" w:w="4986"/>
            <w:vAlign w:val="top"/>
          </w:tcPr>
          <w:p>
            <w:r/>
            <w:r>
              <w:rPr>
                <w:rFonts w:ascii="Calibri" w:hAnsi="Calibri"/>
                <w:b w:val="0"/>
                <w:i w:val="0"/>
                <w:color w:val="000000"/>
                <w:sz w:val="18"/>
              </w:rPr>
              <w:t>DDD</w:t>
            </w:r>
          </w:p>
        </w:tc>
        <w:tc>
          <w:tcPr>
            <w:tcW w:type="dxa" w:w="4986"/>
            <w:vAlign w:val="top"/>
          </w:tcPr>
          <w:p>
            <w:r/>
            <w:r>
              <w:rPr>
                <w:rFonts w:ascii="Calibri" w:hAnsi="Calibri"/>
                <w:b w:val="0"/>
                <w:i w:val="0"/>
                <w:color w:val="000000"/>
                <w:sz w:val="18"/>
              </w:rPr>
              <w:t>Domain-Driven Design</w:t>
            </w:r>
          </w:p>
        </w:tc>
      </w:tr>
      <w:tr>
        <w:tc>
          <w:tcPr>
            <w:tcW w:type="dxa" w:w="4986"/>
            <w:vAlign w:val="top"/>
          </w:tcPr>
          <w:p>
            <w:r/>
            <w:r>
              <w:rPr>
                <w:rFonts w:ascii="Calibri" w:hAnsi="Calibri"/>
                <w:b w:val="0"/>
                <w:i w:val="0"/>
                <w:color w:val="000000"/>
                <w:sz w:val="18"/>
              </w:rPr>
              <w:t>ECR</w:t>
            </w:r>
          </w:p>
        </w:tc>
        <w:tc>
          <w:tcPr>
            <w:tcW w:type="dxa" w:w="4986"/>
            <w:vAlign w:val="top"/>
          </w:tcPr>
          <w:p>
            <w:r/>
            <w:r>
              <w:rPr>
                <w:rFonts w:ascii="Calibri" w:hAnsi="Calibri"/>
                <w:b w:val="0"/>
                <w:i w:val="0"/>
                <w:color w:val="000000"/>
                <w:sz w:val="18"/>
              </w:rPr>
              <w:t>Elastic Container Registry (AWS)</w:t>
            </w:r>
          </w:p>
        </w:tc>
      </w:tr>
      <w:tr>
        <w:tc>
          <w:tcPr>
            <w:tcW w:type="dxa" w:w="4986"/>
            <w:vAlign w:val="top"/>
          </w:tcPr>
          <w:p>
            <w:r/>
            <w:r>
              <w:rPr>
                <w:rFonts w:ascii="Calibri" w:hAnsi="Calibri"/>
                <w:b w:val="0"/>
                <w:i w:val="0"/>
                <w:color w:val="000000"/>
                <w:sz w:val="18"/>
              </w:rPr>
              <w:t>ECS</w:t>
            </w:r>
          </w:p>
        </w:tc>
        <w:tc>
          <w:tcPr>
            <w:tcW w:type="dxa" w:w="4986"/>
            <w:vAlign w:val="top"/>
          </w:tcPr>
          <w:p>
            <w:r/>
            <w:r>
              <w:rPr>
                <w:rFonts w:ascii="Calibri" w:hAnsi="Calibri"/>
                <w:b w:val="0"/>
                <w:i w:val="0"/>
                <w:color w:val="000000"/>
                <w:sz w:val="18"/>
              </w:rPr>
              <w:t>Elastic Container Service (AWS)</w:t>
            </w:r>
          </w:p>
        </w:tc>
      </w:tr>
      <w:tr>
        <w:tc>
          <w:tcPr>
            <w:tcW w:type="dxa" w:w="4986"/>
            <w:vAlign w:val="top"/>
          </w:tcPr>
          <w:p>
            <w:r/>
            <w:r>
              <w:rPr>
                <w:rFonts w:ascii="Calibri" w:hAnsi="Calibri"/>
                <w:b w:val="0"/>
                <w:i w:val="0"/>
                <w:color w:val="000000"/>
                <w:sz w:val="18"/>
              </w:rPr>
              <w:t>GDS</w:t>
            </w:r>
          </w:p>
        </w:tc>
        <w:tc>
          <w:tcPr>
            <w:tcW w:type="dxa" w:w="4986"/>
            <w:vAlign w:val="top"/>
          </w:tcPr>
          <w:p>
            <w:r/>
            <w:r>
              <w:rPr>
                <w:rFonts w:ascii="Calibri" w:hAnsi="Calibri"/>
                <w:b w:val="0"/>
                <w:i w:val="0"/>
                <w:color w:val="000000"/>
                <w:sz w:val="18"/>
              </w:rPr>
              <w:t>Graph Data Science (Neo4j plugin)</w:t>
            </w:r>
          </w:p>
        </w:tc>
      </w:tr>
      <w:tr>
        <w:tc>
          <w:tcPr>
            <w:tcW w:type="dxa" w:w="4986"/>
            <w:vAlign w:val="top"/>
          </w:tcPr>
          <w:p>
            <w:r/>
            <w:r>
              <w:rPr>
                <w:rFonts w:ascii="Calibri" w:hAnsi="Calibri"/>
                <w:b w:val="0"/>
                <w:i w:val="0"/>
                <w:color w:val="000000"/>
                <w:sz w:val="18"/>
              </w:rPr>
              <w:t>HS256</w:t>
            </w:r>
          </w:p>
        </w:tc>
        <w:tc>
          <w:tcPr>
            <w:tcW w:type="dxa" w:w="4986"/>
            <w:vAlign w:val="top"/>
          </w:tcPr>
          <w:p>
            <w:r/>
            <w:r>
              <w:rPr>
                <w:rFonts w:ascii="Calibri" w:hAnsi="Calibri"/>
                <w:b w:val="0"/>
                <w:i w:val="0"/>
                <w:color w:val="000000"/>
                <w:sz w:val="18"/>
              </w:rPr>
              <w:t>HMAC SHA-256 (symmetric JWT signing)</w:t>
            </w:r>
          </w:p>
        </w:tc>
      </w:tr>
      <w:tr>
        <w:tc>
          <w:tcPr>
            <w:tcW w:type="dxa" w:w="4986"/>
            <w:vAlign w:val="top"/>
          </w:tcPr>
          <w:p>
            <w:r/>
            <w:r>
              <w:rPr>
                <w:rFonts w:ascii="Calibri" w:hAnsi="Calibri"/>
                <w:b w:val="0"/>
                <w:i w:val="0"/>
                <w:color w:val="000000"/>
                <w:sz w:val="18"/>
              </w:rPr>
              <w:t>IaC</w:t>
            </w:r>
          </w:p>
        </w:tc>
        <w:tc>
          <w:tcPr>
            <w:tcW w:type="dxa" w:w="4986"/>
            <w:vAlign w:val="top"/>
          </w:tcPr>
          <w:p>
            <w:r/>
            <w:r>
              <w:rPr>
                <w:rFonts w:ascii="Calibri" w:hAnsi="Calibri"/>
                <w:b w:val="0"/>
                <w:i w:val="0"/>
                <w:color w:val="000000"/>
                <w:sz w:val="18"/>
              </w:rPr>
              <w:t>Infrastructure as Code</w:t>
            </w:r>
          </w:p>
        </w:tc>
      </w:tr>
      <w:tr>
        <w:tc>
          <w:tcPr>
            <w:tcW w:type="dxa" w:w="4986"/>
            <w:vAlign w:val="top"/>
          </w:tcPr>
          <w:p>
            <w:r/>
            <w:r>
              <w:rPr>
                <w:rFonts w:ascii="Calibri" w:hAnsi="Calibri"/>
                <w:b w:val="0"/>
                <w:i w:val="0"/>
                <w:color w:val="000000"/>
                <w:sz w:val="18"/>
              </w:rPr>
              <w:t>MCP</w:t>
            </w:r>
          </w:p>
        </w:tc>
        <w:tc>
          <w:tcPr>
            <w:tcW w:type="dxa" w:w="4986"/>
            <w:vAlign w:val="top"/>
          </w:tcPr>
          <w:p>
            <w:r/>
            <w:r>
              <w:rPr>
                <w:rFonts w:ascii="Calibri" w:hAnsi="Calibri"/>
                <w:b w:val="0"/>
                <w:i w:val="0"/>
                <w:color w:val="000000"/>
                <w:sz w:val="18"/>
              </w:rPr>
              <w:t>Model Context Protocol (FastMCP implementation)</w:t>
            </w:r>
          </w:p>
        </w:tc>
      </w:tr>
      <w:tr>
        <w:tc>
          <w:tcPr>
            <w:tcW w:type="dxa" w:w="4986"/>
            <w:vAlign w:val="top"/>
          </w:tcPr>
          <w:p>
            <w:r/>
            <w:r>
              <w:rPr>
                <w:rFonts w:ascii="Calibri" w:hAnsi="Calibri"/>
                <w:b w:val="0"/>
                <w:i w:val="0"/>
                <w:color w:val="000000"/>
                <w:sz w:val="18"/>
              </w:rPr>
              <w:t>Milvus</w:t>
            </w:r>
          </w:p>
        </w:tc>
        <w:tc>
          <w:tcPr>
            <w:tcW w:type="dxa" w:w="4986"/>
            <w:vAlign w:val="top"/>
          </w:tcPr>
          <w:p>
            <w:r/>
            <w:r>
              <w:rPr>
                <w:rFonts w:ascii="Calibri" w:hAnsi="Calibri"/>
                <w:b w:val="0"/>
                <w:i w:val="0"/>
                <w:color w:val="000000"/>
                <w:sz w:val="18"/>
              </w:rPr>
              <w:t>Open-source vector database</w:t>
            </w:r>
          </w:p>
        </w:tc>
      </w:tr>
      <w:tr>
        <w:tc>
          <w:tcPr>
            <w:tcW w:type="dxa" w:w="4986"/>
            <w:vAlign w:val="top"/>
          </w:tcPr>
          <w:p>
            <w:r/>
            <w:r>
              <w:rPr>
                <w:rFonts w:ascii="Calibri" w:hAnsi="Calibri"/>
                <w:b w:val="0"/>
                <w:i w:val="0"/>
                <w:color w:val="000000"/>
                <w:sz w:val="18"/>
              </w:rPr>
              <w:t>NCT ID</w:t>
            </w:r>
          </w:p>
        </w:tc>
        <w:tc>
          <w:tcPr>
            <w:tcW w:type="dxa" w:w="4986"/>
            <w:vAlign w:val="top"/>
          </w:tcPr>
          <w:p>
            <w:r/>
            <w:r>
              <w:rPr>
                <w:rFonts w:ascii="Calibri" w:hAnsi="Calibri"/>
                <w:b w:val="0"/>
                <w:i w:val="0"/>
                <w:color w:val="000000"/>
                <w:sz w:val="18"/>
              </w:rPr>
              <w:t>ClinicalTrials.gov trial identifier</w:t>
            </w:r>
          </w:p>
        </w:tc>
      </w:tr>
      <w:tr>
        <w:tc>
          <w:tcPr>
            <w:tcW w:type="dxa" w:w="4986"/>
            <w:vAlign w:val="top"/>
          </w:tcPr>
          <w:p>
            <w:r/>
            <w:r>
              <w:rPr>
                <w:rFonts w:ascii="Calibri" w:hAnsi="Calibri"/>
                <w:b w:val="0"/>
                <w:i w:val="0"/>
                <w:color w:val="000000"/>
                <w:sz w:val="18"/>
              </w:rPr>
              <w:t>PMID</w:t>
            </w:r>
          </w:p>
        </w:tc>
        <w:tc>
          <w:tcPr>
            <w:tcW w:type="dxa" w:w="4986"/>
            <w:vAlign w:val="top"/>
          </w:tcPr>
          <w:p>
            <w:r/>
            <w:r>
              <w:rPr>
                <w:rFonts w:ascii="Calibri" w:hAnsi="Calibri"/>
                <w:b w:val="0"/>
                <w:i w:val="0"/>
                <w:color w:val="000000"/>
                <w:sz w:val="18"/>
              </w:rPr>
              <w:t>PubMed unique identifier</w:t>
            </w:r>
          </w:p>
        </w:tc>
      </w:tr>
      <w:tr>
        <w:tc>
          <w:tcPr>
            <w:tcW w:type="dxa" w:w="4986"/>
            <w:vAlign w:val="top"/>
          </w:tcPr>
          <w:p>
            <w:r/>
            <w:r>
              <w:rPr>
                <w:rFonts w:ascii="Calibri" w:hAnsi="Calibri"/>
                <w:b w:val="0"/>
                <w:i w:val="0"/>
                <w:color w:val="000000"/>
                <w:sz w:val="18"/>
              </w:rPr>
              <w:t>RBAC</w:t>
            </w:r>
          </w:p>
        </w:tc>
        <w:tc>
          <w:tcPr>
            <w:tcW w:type="dxa" w:w="4986"/>
            <w:vAlign w:val="top"/>
          </w:tcPr>
          <w:p>
            <w:r/>
            <w:r>
              <w:rPr>
                <w:rFonts w:ascii="Calibri" w:hAnsi="Calibri"/>
                <w:b w:val="0"/>
                <w:i w:val="0"/>
                <w:color w:val="000000"/>
                <w:sz w:val="18"/>
              </w:rPr>
              <w:t>Role-Based Access Control</w:t>
            </w:r>
          </w:p>
        </w:tc>
      </w:tr>
      <w:tr>
        <w:tc>
          <w:tcPr>
            <w:tcW w:type="dxa" w:w="4986"/>
            <w:vAlign w:val="top"/>
          </w:tcPr>
          <w:p>
            <w:r/>
            <w:r>
              <w:rPr>
                <w:rFonts w:ascii="Calibri" w:hAnsi="Calibri"/>
                <w:b w:val="0"/>
                <w:i w:val="0"/>
                <w:color w:val="000000"/>
                <w:sz w:val="18"/>
              </w:rPr>
              <w:t>ReAct</w:t>
            </w:r>
          </w:p>
        </w:tc>
        <w:tc>
          <w:tcPr>
            <w:tcW w:type="dxa" w:w="4986"/>
            <w:vAlign w:val="top"/>
          </w:tcPr>
          <w:p>
            <w:r/>
            <w:r>
              <w:rPr>
                <w:rFonts w:ascii="Calibri" w:hAnsi="Calibri"/>
                <w:b w:val="0"/>
                <w:i w:val="0"/>
                <w:color w:val="000000"/>
                <w:sz w:val="18"/>
              </w:rPr>
              <w:t>Reason–Act–Observe agent pattern</w:t>
            </w:r>
          </w:p>
        </w:tc>
      </w:tr>
      <w:tr>
        <w:tc>
          <w:tcPr>
            <w:tcW w:type="dxa" w:w="4986"/>
            <w:vAlign w:val="top"/>
          </w:tcPr>
          <w:p>
            <w:r/>
            <w:r>
              <w:rPr>
                <w:rFonts w:ascii="Calibri" w:hAnsi="Calibri"/>
                <w:b w:val="0"/>
                <w:i w:val="0"/>
                <w:color w:val="000000"/>
                <w:sz w:val="18"/>
              </w:rPr>
              <w:t>RS256</w:t>
            </w:r>
          </w:p>
        </w:tc>
        <w:tc>
          <w:tcPr>
            <w:tcW w:type="dxa" w:w="4986"/>
            <w:vAlign w:val="top"/>
          </w:tcPr>
          <w:p>
            <w:r/>
            <w:r>
              <w:rPr>
                <w:rFonts w:ascii="Calibri" w:hAnsi="Calibri"/>
                <w:b w:val="0"/>
                <w:i w:val="0"/>
                <w:color w:val="000000"/>
                <w:sz w:val="18"/>
              </w:rPr>
              <w:t>RSA SHA-256 (asymmetric JWT signing)</w:t>
            </w:r>
          </w:p>
        </w:tc>
      </w:tr>
      <w:tr>
        <w:tc>
          <w:tcPr>
            <w:tcW w:type="dxa" w:w="4986"/>
            <w:vAlign w:val="top"/>
          </w:tcPr>
          <w:p>
            <w:r/>
            <w:r>
              <w:rPr>
                <w:rFonts w:ascii="Calibri" w:hAnsi="Calibri"/>
                <w:b w:val="0"/>
                <w:i w:val="0"/>
                <w:color w:val="000000"/>
                <w:sz w:val="18"/>
              </w:rPr>
              <w:t>SSE</w:t>
            </w:r>
          </w:p>
        </w:tc>
        <w:tc>
          <w:tcPr>
            <w:tcW w:type="dxa" w:w="4986"/>
            <w:vAlign w:val="top"/>
          </w:tcPr>
          <w:p>
            <w:r/>
            <w:r>
              <w:rPr>
                <w:rFonts w:ascii="Calibri" w:hAnsi="Calibri"/>
                <w:b w:val="0"/>
                <w:i w:val="0"/>
                <w:color w:val="000000"/>
                <w:sz w:val="18"/>
              </w:rPr>
              <w:t>Server-Sent Events</w:t>
            </w:r>
          </w:p>
        </w:tc>
      </w:tr>
      <w:tr>
        <w:tc>
          <w:tcPr>
            <w:tcW w:type="dxa" w:w="4986"/>
            <w:vAlign w:val="top"/>
          </w:tcPr>
          <w:p>
            <w:r/>
            <w:r>
              <w:rPr>
                <w:rFonts w:ascii="Calibri" w:hAnsi="Calibri"/>
                <w:b w:val="0"/>
                <w:i w:val="0"/>
                <w:color w:val="000000"/>
                <w:sz w:val="18"/>
              </w:rPr>
              <w:t>UPN</w:t>
            </w:r>
          </w:p>
        </w:tc>
        <w:tc>
          <w:tcPr>
            <w:tcW w:type="dxa" w:w="4986"/>
            <w:vAlign w:val="top"/>
          </w:tcPr>
          <w:p>
            <w:r/>
            <w:r>
              <w:rPr>
                <w:rFonts w:ascii="Calibri" w:hAnsi="Calibri"/>
                <w:b w:val="0"/>
                <w:i w:val="0"/>
                <w:color w:val="000000"/>
                <w:sz w:val="18"/>
              </w:rPr>
              <w:t>User Principal Name (Entra ID identifier)</w:t>
            </w:r>
          </w:p>
        </w:tc>
      </w:tr>
      <w:tr>
        <w:tc>
          <w:tcPr>
            <w:tcW w:type="dxa" w:w="4986"/>
            <w:vAlign w:val="top"/>
          </w:tcPr>
          <w:p>
            <w:r/>
            <w:r>
              <w:rPr>
                <w:rFonts w:ascii="Calibri" w:hAnsi="Calibri"/>
                <w:b w:val="0"/>
                <w:i w:val="0"/>
                <w:color w:val="000000"/>
                <w:sz w:val="18"/>
              </w:rPr>
              <w:t>VPC</w:t>
            </w:r>
          </w:p>
        </w:tc>
        <w:tc>
          <w:tcPr>
            <w:tcW w:type="dxa" w:w="4986"/>
            <w:vAlign w:val="top"/>
          </w:tcPr>
          <w:p>
            <w:r/>
            <w:r>
              <w:rPr>
                <w:rFonts w:ascii="Calibri" w:hAnsi="Calibri"/>
                <w:b w:val="0"/>
                <w:i w:val="0"/>
                <w:color w:val="000000"/>
                <w:sz w:val="18"/>
              </w:rPr>
              <w:t>Virtual Private Cloud (AWS)</w:t>
            </w:r>
          </w:p>
        </w:tc>
      </w:tr>
    </w:tbl>
    <w:p/>
    <w:p>
      <w:pPr>
        <w:spacing w:before="280" w:after="160"/>
        <w:outlineLvl w:val="1"/>
      </w:pPr>
      <w:r>
        <w:rPr>
          <w:rFonts w:ascii="Calibri" w:hAnsi="Calibri"/>
          <w:b/>
          <w:i w:val="0"/>
          <w:color w:val="1B3A6B"/>
          <w:sz w:val="34"/>
        </w:rPr>
        <w:t>Appendix B — Core API Endpoint Inventory</w:t>
      </w:r>
    </w:p>
    <w:tbl>
      <w:tblPr>
        <w:tblStyle w:val="LightGrid-Accent1"/>
        <w:tblW w:type="auto" w:w="0"/>
        <w:jc w:val="center"/>
        <w:tblLook w:firstColumn="1" w:firstRow="1" w:lastColumn="0" w:lastRow="0" w:noHBand="0" w:noVBand="1" w:val="04A0"/>
      </w:tblPr>
      <w:tblGrid>
        <w:gridCol w:w="2493"/>
        <w:gridCol w:w="2493"/>
        <w:gridCol w:w="2493"/>
        <w:gridCol w:w="2493"/>
      </w:tblGrid>
      <w:tr>
        <w:tc>
          <w:tcPr>
            <w:tcW w:type="dxa" w:w="2493"/>
            <w:shd w:val="clear" w:color="auto" w:fill="1B3A6B"/>
            <w:vAlign w:val="top"/>
          </w:tcPr>
          <w:p>
            <w:r/>
            <w:r>
              <w:rPr>
                <w:rFonts w:ascii="Calibri" w:hAnsi="Calibri"/>
                <w:b/>
                <w:i w:val="0"/>
                <w:color w:val="FFFFFF"/>
                <w:sz w:val="18"/>
              </w:rPr>
              <w:t>Domain</w:t>
            </w:r>
          </w:p>
        </w:tc>
        <w:tc>
          <w:tcPr>
            <w:tcW w:type="dxa" w:w="2493"/>
            <w:shd w:val="clear" w:color="auto" w:fill="1B3A6B"/>
            <w:vAlign w:val="top"/>
          </w:tcPr>
          <w:p>
            <w:r/>
            <w:r>
              <w:rPr>
                <w:rFonts w:ascii="Calibri" w:hAnsi="Calibri"/>
                <w:b/>
                <w:i w:val="0"/>
                <w:color w:val="FFFFFF"/>
                <w:sz w:val="18"/>
              </w:rPr>
              <w:t>Method</w:t>
            </w:r>
          </w:p>
        </w:tc>
        <w:tc>
          <w:tcPr>
            <w:tcW w:type="dxa" w:w="2493"/>
            <w:shd w:val="clear" w:color="auto" w:fill="1B3A6B"/>
            <w:vAlign w:val="top"/>
          </w:tcPr>
          <w:p>
            <w:r/>
            <w:r>
              <w:rPr>
                <w:rFonts w:ascii="Calibri" w:hAnsi="Calibri"/>
                <w:b/>
                <w:i w:val="0"/>
                <w:color w:val="FFFFFF"/>
                <w:sz w:val="18"/>
              </w:rPr>
              <w:t>Path</w:t>
            </w:r>
          </w:p>
        </w:tc>
        <w:tc>
          <w:tcPr>
            <w:tcW w:type="dxa" w:w="2493"/>
            <w:shd w:val="clear" w:color="auto" w:fill="1B3A6B"/>
            <w:vAlign w:val="top"/>
          </w:tcPr>
          <w:p>
            <w:r/>
            <w:r>
              <w:rPr>
                <w:rFonts w:ascii="Calibri" w:hAnsi="Calibri"/>
                <w:b/>
                <w:i w:val="0"/>
                <w:color w:val="FFFFFF"/>
                <w:sz w:val="18"/>
              </w:rPr>
              <w:t>Notes</w:t>
            </w:r>
          </w:p>
        </w:tc>
      </w:tr>
      <w:tr>
        <w:tc>
          <w:tcPr>
            <w:tcW w:type="dxa" w:w="2493"/>
            <w:vAlign w:val="top"/>
          </w:tcPr>
          <w:p>
            <w:r/>
            <w:r>
              <w:rPr>
                <w:rFonts w:ascii="Calibri" w:hAnsi="Calibri"/>
                <w:b w:val="0"/>
                <w:i w:val="0"/>
                <w:color w:val="000000"/>
                <w:sz w:val="18"/>
              </w:rPr>
              <w:t>Auth</w:t>
            </w:r>
          </w:p>
        </w:tc>
        <w:tc>
          <w:tcPr>
            <w:tcW w:type="dxa" w:w="2493"/>
            <w:vAlign w:val="top"/>
          </w:tcPr>
          <w:p>
            <w:r/>
            <w:r>
              <w:rPr>
                <w:rFonts w:ascii="Calibri" w:hAnsi="Calibri"/>
                <w:b w:val="0"/>
                <w:i w:val="0"/>
                <w:color w:val="000000"/>
                <w:sz w:val="18"/>
              </w:rPr>
              <w:t>GET/POST</w:t>
            </w:r>
          </w:p>
        </w:tc>
        <w:tc>
          <w:tcPr>
            <w:tcW w:type="dxa" w:w="2493"/>
            <w:vAlign w:val="top"/>
          </w:tcPr>
          <w:p>
            <w:r/>
            <w:r>
              <w:rPr>
                <w:rFonts w:ascii="Calibri" w:hAnsi="Calibri"/>
                <w:b w:val="0"/>
                <w:i w:val="0"/>
                <w:color w:val="000000"/>
                <w:sz w:val="18"/>
              </w:rPr>
              <w:t>/login, /auth/callback, /auth/whoami</w:t>
            </w:r>
          </w:p>
        </w:tc>
        <w:tc>
          <w:tcPr>
            <w:tcW w:type="dxa" w:w="2493"/>
            <w:vAlign w:val="top"/>
          </w:tcPr>
          <w:p>
            <w:r/>
            <w:r>
              <w:rPr>
                <w:rFonts w:ascii="Calibri" w:hAnsi="Calibri"/>
                <w:b w:val="0"/>
                <w:i w:val="0"/>
                <w:color w:val="000000"/>
                <w:sz w:val="18"/>
              </w:rPr>
              <w:t>Entra ID flow</w:t>
            </w:r>
          </w:p>
        </w:tc>
      </w:tr>
      <w:tr>
        <w:tc>
          <w:tcPr>
            <w:tcW w:type="dxa" w:w="2493"/>
            <w:vAlign w:val="top"/>
          </w:tcPr>
          <w:p>
            <w:r/>
            <w:r>
              <w:rPr>
                <w:rFonts w:ascii="Calibri" w:hAnsi="Calibri"/>
                <w:b w:val="0"/>
                <w:i w:val="0"/>
                <w:color w:val="000000"/>
                <w:sz w:val="18"/>
              </w:rPr>
              <w:t>System</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/health</w:t>
            </w:r>
          </w:p>
        </w:tc>
        <w:tc>
          <w:tcPr>
            <w:tcW w:type="dxa" w:w="2493"/>
            <w:vAlign w:val="top"/>
          </w:tcPr>
          <w:p>
            <w:r/>
            <w:r>
              <w:rPr>
                <w:rFonts w:ascii="Calibri" w:hAnsi="Calibri"/>
                <w:b w:val="0"/>
                <w:i w:val="0"/>
                <w:color w:val="000000"/>
                <w:sz w:val="18"/>
              </w:rPr>
              <w:t>Liveness only</w:t>
            </w:r>
          </w:p>
        </w:tc>
      </w:tr>
      <w:tr>
        <w:tc>
          <w:tcPr>
            <w:tcW w:type="dxa" w:w="2493"/>
            <w:vAlign w:val="top"/>
          </w:tcPr>
          <w:p>
            <w:r/>
            <w:r>
              <w:rPr>
                <w:rFonts w:ascii="Calibri" w:hAnsi="Calibri"/>
                <w:b w:val="0"/>
                <w:i w:val="0"/>
                <w:color w:val="000000"/>
                <w:sz w:val="18"/>
              </w:rPr>
              <w:t>System</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/release-notes</w:t>
            </w:r>
          </w:p>
        </w:tc>
        <w:tc>
          <w:tcPr>
            <w:tcW w:type="dxa" w:w="2493"/>
            <w:vAlign w:val="top"/>
          </w:tcPr>
          <w:p>
            <w:r/>
            <w:r>
              <w:rPr>
                <w:rFonts w:ascii="Calibri" w:hAnsi="Calibri"/>
                <w:b w:val="0"/>
                <w:i w:val="0"/>
                <w:color w:val="000000"/>
                <w:sz w:val="18"/>
              </w:rPr>
              <w:t>Static content</w:t>
            </w:r>
          </w:p>
        </w:tc>
      </w:tr>
      <w:tr>
        <w:tc>
          <w:tcPr>
            <w:tcW w:type="dxa" w:w="2493"/>
            <w:vAlign w:val="top"/>
          </w:tcPr>
          <w:p>
            <w:r/>
            <w:r>
              <w:rPr>
                <w:rFonts w:ascii="Calibri" w:hAnsi="Calibri"/>
                <w:b w:val="0"/>
                <w:i w:val="0"/>
                <w:color w:val="000000"/>
                <w:sz w:val="18"/>
              </w:rPr>
              <w:t>Stats</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/stats</w:t>
            </w:r>
          </w:p>
        </w:tc>
        <w:tc>
          <w:tcPr>
            <w:tcW w:type="dxa" w:w="2493"/>
            <w:vAlign w:val="top"/>
          </w:tcPr>
          <w:p>
            <w:r/>
            <w:r>
              <w:rPr>
                <w:rFonts w:ascii="Calibri" w:hAnsi="Calibri"/>
                <w:b w:val="0"/>
                <w:i w:val="0"/>
                <w:color w:val="000000"/>
                <w:sz w:val="18"/>
              </w:rPr>
              <w:t>Graph counters</w:t>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/labels/{label}</w:t>
            </w:r>
          </w:p>
        </w:tc>
        <w:tc>
          <w:tcPr>
            <w:tcW w:type="dxa" w:w="2493"/>
            <w:vAlign w:val="top"/>
          </w:tcPr>
          <w:p>
            <w:r/>
            <w:r>
              <w:rPr>
                <w:rFonts w:ascii="Calibri" w:hAnsi="Calibri"/>
                <w:b w:val="0"/>
                <w:i w:val="0"/>
                <w:color w:val="000000"/>
                <w:sz w:val="18"/>
              </w:rPr>
              <w:t>Paginated</w:t>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/count/{label}</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/node/find/{value}</w:t>
            </w:r>
          </w:p>
        </w:tc>
        <w:tc>
          <w:tcPr>
            <w:tcW w:type="dxa" w:w="2493"/>
            <w:vAlign w:val="top"/>
          </w:tcPr>
          <w:p>
            <w:r/>
            <w:r>
              <w:rPr>
                <w:rFonts w:ascii="Calibri" w:hAnsi="Calibri"/>
                <w:b w:val="0"/>
                <w:i w:val="0"/>
                <w:color w:val="000000"/>
                <w:sz w:val="18"/>
              </w:rPr>
              <w:t>Fuzzy match opt</w:t>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POST</w:t>
            </w:r>
          </w:p>
        </w:tc>
        <w:tc>
          <w:tcPr>
            <w:tcW w:type="dxa" w:w="2493"/>
            <w:vAlign w:val="top"/>
          </w:tcPr>
          <w:p>
            <w:r/>
            <w:r>
              <w:rPr>
                <w:rFonts w:ascii="Calibri" w:hAnsi="Calibri"/>
                <w:b w:val="0"/>
                <w:i w:val="0"/>
                <w:color w:val="000000"/>
                <w:sz w:val="18"/>
              </w:rPr>
              <w:t>/node/details</w:t>
            </w:r>
          </w:p>
        </w:tc>
        <w:tc>
          <w:tcPr>
            <w:tcW w:type="dxa" w:w="2493"/>
            <w:vAlign w:val="top"/>
          </w:tcPr>
          <w:p>
            <w:r/>
            <w:r>
              <w:rPr>
                <w:rFonts w:ascii="Calibri" w:hAnsi="Calibri"/>
                <w:b w:val="0"/>
                <w:i w:val="0"/>
                <w:color w:val="000000"/>
                <w:sz w:val="18"/>
              </w:rPr>
              <w:t>Up to 50 IDs</w:t>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/graph/relationship/start/{id}</w:t>
            </w:r>
          </w:p>
        </w:tc>
        <w:tc>
          <w:tcPr>
            <w:tcW w:type="dxa" w:w="2493"/>
            <w:vAlign w:val="top"/>
          </w:tcPr>
          <w:p>
            <w:r/>
            <w:r>
              <w:rPr>
                <w:rFonts w:ascii="Calibri" w:hAnsi="Calibri"/>
                <w:b w:val="0"/>
                <w:i w:val="0"/>
                <w:color w:val="000000"/>
                <w:sz w:val="18"/>
              </w:rPr>
              <w:t>n_hop ≤ 2</w:t>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/graph/facts/start/{id}</w:t>
            </w:r>
          </w:p>
        </w:tc>
        <w:tc>
          <w:tcPr>
            <w:tcW w:type="dxa" w:w="2493"/>
            <w:vAlign w:val="top"/>
          </w:tcPr>
          <w:p>
            <w:r/>
            <w:r>
              <w:rPr>
                <w:rFonts w:ascii="Calibri" w:hAnsi="Calibri"/>
                <w:b w:val="0"/>
                <w:i w:val="0"/>
                <w:color w:val="000000"/>
                <w:sz w:val="18"/>
              </w:rPr>
              <w:t>n_hop = 1</w:t>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/graph/path/start/{id}/end/{id}</w:t>
            </w:r>
          </w:p>
        </w:tc>
        <w:tc>
          <w:tcPr>
            <w:tcW w:type="dxa" w:w="2493"/>
            <w:vAlign w:val="top"/>
          </w:tcPr>
          <w:p>
            <w:r/>
            <w:r>
              <w:rPr>
                <w:rFonts w:ascii="Calibri" w:hAnsi="Calibri"/>
                <w:b w:val="0"/>
                <w:i w:val="0"/>
                <w:color w:val="000000"/>
                <w:sz w:val="18"/>
              </w:rPr>
              <w:t>Shortest path</w:t>
            </w:r>
          </w:p>
        </w:tc>
      </w:tr>
      <w:tr>
        <w:tc>
          <w:tcPr>
            <w:tcW w:type="dxa" w:w="2493"/>
            <w:vAlign w:val="top"/>
          </w:tcPr>
          <w:p>
            <w:r/>
            <w:r>
              <w:rPr>
                <w:rFonts w:ascii="Calibri" w:hAnsi="Calibri"/>
                <w:b w:val="0"/>
                <w:i w:val="0"/>
                <w:color w:val="000000"/>
                <w:sz w:val="18"/>
              </w:rPr>
              <w:t>Foundation</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/graph/reachability/start/{id}/end/{id}</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Drug</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/drugs/aliases/{name}</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Drug</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/drugs/aliases/id/{drug_id}</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Patent</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/patents/drugs</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Patent</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/patents/clinicaltrials</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Patent</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/patents/geneproteins</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Patent</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/patents/count</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PubMed</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/pubmed/drugs</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PubMed</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/pubmed/clinicaltrials</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PubMed</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/pubmed/geneproteins</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PubMed</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/pubmed/count</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Org</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/organizations/{pattern}</w:t>
            </w:r>
          </w:p>
        </w:tc>
        <w:tc>
          <w:tcPr>
            <w:tcW w:type="dxa" w:w="2493"/>
            <w:vAlign w:val="top"/>
          </w:tcPr>
          <w:p>
            <w:r/>
            <w:r>
              <w:rPr>
                <w:rFonts w:ascii="Calibri" w:hAnsi="Calibri"/>
                <w:b w:val="0"/>
                <w:i w:val="0"/>
                <w:color w:val="000000"/>
                <w:sz w:val="18"/>
              </w:rPr>
              <w:t>Wildcards</w:t>
            </w:r>
          </w:p>
        </w:tc>
      </w:tr>
      <w:tr>
        <w:tc>
          <w:tcPr>
            <w:tcW w:type="dxa" w:w="2493"/>
            <w:vAlign w:val="top"/>
          </w:tcPr>
          <w:p>
            <w:r/>
            <w:r>
              <w:rPr>
                <w:rFonts w:ascii="Calibri" w:hAnsi="Calibri"/>
                <w:b w:val="0"/>
                <w:i w:val="0"/>
                <w:color w:val="000000"/>
                <w:sz w:val="18"/>
              </w:rPr>
              <w:t>Org</w:t>
            </w:r>
          </w:p>
        </w:tc>
        <w:tc>
          <w:tcPr>
            <w:tcW w:type="dxa" w:w="2493"/>
            <w:vAlign w:val="top"/>
          </w:tcPr>
          <w:p>
            <w:r/>
            <w:r>
              <w:rPr>
                <w:rFonts w:ascii="Calibri" w:hAnsi="Calibri"/>
                <w:b w:val="0"/>
                <w:i w:val="0"/>
                <w:color w:val="000000"/>
                <w:sz w:val="18"/>
              </w:rPr>
              <w:t>GET</w:t>
            </w:r>
          </w:p>
        </w:tc>
        <w:tc>
          <w:tcPr>
            <w:tcW w:type="dxa" w:w="2493"/>
            <w:vAlign w:val="top"/>
          </w:tcPr>
          <w:p>
            <w:r/>
            <w:r>
              <w:rPr>
                <w:rFonts w:ascii="Calibri" w:hAnsi="Calibri"/>
                <w:b w:val="0"/>
                <w:i w:val="0"/>
                <w:color w:val="000000"/>
                <w:sz w:val="18"/>
              </w:rPr>
              <w:t>/organizations/assets/{id}</w:t>
            </w:r>
          </w:p>
        </w:tc>
        <w:tc>
          <w:tcPr>
            <w:tcW w:type="dxa" w:w="2493"/>
            <w:vAlign w:val="top"/>
          </w:tcPr>
          <w:p>
            <w:r/>
            <w:r>
              <w:rPr>
                <w:rFonts w:ascii="Calibri" w:hAnsi="Calibri"/>
                <w:b w:val="0"/>
                <w:i w:val="0"/>
                <w:color w:val="000000"/>
                <w:sz w:val="18"/>
              </w:rPr>
            </w:r>
          </w:p>
        </w:tc>
      </w:tr>
      <w:tr>
        <w:tc>
          <w:tcPr>
            <w:tcW w:type="dxa" w:w="2493"/>
            <w:vAlign w:val="top"/>
          </w:tcPr>
          <w:p>
            <w:r/>
            <w:r>
              <w:rPr>
                <w:rFonts w:ascii="Calibri" w:hAnsi="Calibri"/>
                <w:b w:val="0"/>
                <w:i w:val="0"/>
                <w:color w:val="000000"/>
                <w:sz w:val="18"/>
              </w:rPr>
              <w:t>Search</w:t>
            </w:r>
          </w:p>
        </w:tc>
        <w:tc>
          <w:tcPr>
            <w:tcW w:type="dxa" w:w="2493"/>
            <w:vAlign w:val="top"/>
          </w:tcPr>
          <w:p>
            <w:r/>
            <w:r>
              <w:rPr>
                <w:rFonts w:ascii="Calibri" w:hAnsi="Calibri"/>
                <w:b w:val="0"/>
                <w:i w:val="0"/>
                <w:color w:val="000000"/>
                <w:sz w:val="18"/>
              </w:rPr>
              <w:t>POST</w:t>
            </w:r>
          </w:p>
        </w:tc>
        <w:tc>
          <w:tcPr>
            <w:tcW w:type="dxa" w:w="2493"/>
            <w:vAlign w:val="top"/>
          </w:tcPr>
          <w:p>
            <w:r/>
            <w:r>
              <w:rPr>
                <w:rFonts w:ascii="Calibri" w:hAnsi="Calibri"/>
                <w:b w:val="0"/>
                <w:i w:val="0"/>
                <w:color w:val="000000"/>
                <w:sz w:val="18"/>
              </w:rPr>
              <w:t>/similarity/{label}</w:t>
            </w:r>
          </w:p>
        </w:tc>
        <w:tc>
          <w:tcPr>
            <w:tcW w:type="dxa" w:w="2493"/>
            <w:vAlign w:val="top"/>
          </w:tcPr>
          <w:p>
            <w:r/>
            <w:r>
              <w:rPr>
                <w:rFonts w:ascii="Calibri" w:hAnsi="Calibri"/>
                <w:b w:val="0"/>
                <w:i w:val="0"/>
                <w:color w:val="000000"/>
                <w:sz w:val="18"/>
              </w:rPr>
              <w:t>Embedding</w:t>
            </w:r>
          </w:p>
        </w:tc>
      </w:tr>
      <w:tr>
        <w:tc>
          <w:tcPr>
            <w:tcW w:type="dxa" w:w="2493"/>
            <w:vAlign w:val="top"/>
          </w:tcPr>
          <w:p>
            <w:r/>
            <w:r>
              <w:rPr>
                <w:rFonts w:ascii="Calibri" w:hAnsi="Calibri"/>
                <w:b w:val="0"/>
                <w:i w:val="0"/>
                <w:color w:val="000000"/>
                <w:sz w:val="18"/>
              </w:rPr>
              <w:t>Search</w:t>
            </w:r>
          </w:p>
        </w:tc>
        <w:tc>
          <w:tcPr>
            <w:tcW w:type="dxa" w:w="2493"/>
            <w:vAlign w:val="top"/>
          </w:tcPr>
          <w:p>
            <w:r/>
            <w:r>
              <w:rPr>
                <w:rFonts w:ascii="Calibri" w:hAnsi="Calibri"/>
                <w:b w:val="0"/>
                <w:i w:val="0"/>
                <w:color w:val="000000"/>
                <w:sz w:val="18"/>
              </w:rPr>
              <w:t>POST</w:t>
            </w:r>
          </w:p>
        </w:tc>
        <w:tc>
          <w:tcPr>
            <w:tcW w:type="dxa" w:w="2493"/>
            <w:vAlign w:val="top"/>
          </w:tcPr>
          <w:p>
            <w:r/>
            <w:r>
              <w:rPr>
                <w:rFonts w:ascii="Calibri" w:hAnsi="Calibri"/>
                <w:b w:val="0"/>
                <w:i w:val="0"/>
                <w:color w:val="000000"/>
                <w:sz w:val="18"/>
              </w:rPr>
              <w:t>/{label} (faceted)</w:t>
            </w:r>
          </w:p>
        </w:tc>
        <w:tc>
          <w:tcPr>
            <w:tcW w:type="dxa" w:w="2493"/>
            <w:vAlign w:val="top"/>
          </w:tcPr>
          <w:p>
            <w:r/>
            <w:r>
              <w:rPr>
                <w:rFonts w:ascii="Calibri" w:hAnsi="Calibri"/>
                <w:b w:val="0"/>
                <w:i w:val="0"/>
                <w:color w:val="000000"/>
                <w:sz w:val="18"/>
              </w:rPr>
              <w:t>Facet body</w:t>
            </w:r>
          </w:p>
        </w:tc>
      </w:tr>
    </w:tbl>
    <w:p/>
    <w:p>
      <w:pPr>
        <w:spacing w:before="280" w:after="160"/>
        <w:outlineLvl w:val="1"/>
      </w:pPr>
      <w:r>
        <w:rPr>
          <w:rFonts w:ascii="Calibri" w:hAnsi="Calibri"/>
          <w:b/>
          <w:i w:val="0"/>
          <w:color w:val="1B3A6B"/>
          <w:sz w:val="34"/>
        </w:rPr>
        <w:t>Appendix C — MCP Tool Inventory</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w:t>
            </w:r>
          </w:p>
        </w:tc>
        <w:tc>
          <w:tcPr>
            <w:tcW w:type="dxa" w:w="3324"/>
            <w:shd w:val="clear" w:color="auto" w:fill="1B3A6B"/>
            <w:vAlign w:val="top"/>
          </w:tcPr>
          <w:p>
            <w:r/>
            <w:r>
              <w:rPr>
                <w:rFonts w:ascii="Calibri" w:hAnsi="Calibri"/>
                <w:b/>
                <w:i w:val="0"/>
                <w:color w:val="FFFFFF"/>
                <w:sz w:val="18"/>
              </w:rPr>
              <w:t>Tool</w:t>
            </w:r>
          </w:p>
        </w:tc>
        <w:tc>
          <w:tcPr>
            <w:tcW w:type="dxa" w:w="3324"/>
            <w:shd w:val="clear" w:color="auto" w:fill="1B3A6B"/>
            <w:vAlign w:val="top"/>
          </w:tcPr>
          <w:p>
            <w:r/>
            <w:r>
              <w:rPr>
                <w:rFonts w:ascii="Calibri" w:hAnsi="Calibri"/>
                <w:b/>
                <w:i w:val="0"/>
                <w:color w:val="FFFFFF"/>
                <w:sz w:val="18"/>
              </w:rPr>
              <w:t>API</w:t>
            </w:r>
          </w:p>
        </w:tc>
      </w:tr>
      <w:tr>
        <w:tc>
          <w:tcPr>
            <w:tcW w:type="dxa" w:w="3324"/>
            <w:vAlign w:val="top"/>
          </w:tcPr>
          <w:p>
            <w:r/>
            <w:r>
              <w:rPr>
                <w:rFonts w:ascii="Calibri" w:hAnsi="Calibri"/>
                <w:b w:val="0"/>
                <w:i w:val="0"/>
                <w:color w:val="000000"/>
                <w:sz w:val="18"/>
              </w:rPr>
              <w:t>1</w:t>
            </w:r>
          </w:p>
        </w:tc>
        <w:tc>
          <w:tcPr>
            <w:tcW w:type="dxa" w:w="3324"/>
            <w:vAlign w:val="top"/>
          </w:tcPr>
          <w:p>
            <w:r/>
            <w:r>
              <w:rPr>
                <w:rFonts w:ascii="Calibri" w:hAnsi="Calibri"/>
                <w:b w:val="0"/>
                <w:i w:val="0"/>
                <w:color w:val="000000"/>
                <w:sz w:val="18"/>
              </w:rPr>
              <w:t>fetch_identity</w:t>
            </w:r>
          </w:p>
        </w:tc>
        <w:tc>
          <w:tcPr>
            <w:tcW w:type="dxa" w:w="3324"/>
            <w:vAlign w:val="top"/>
          </w:tcPr>
          <w:p>
            <w:r/>
            <w:r>
              <w:rPr>
                <w:rFonts w:ascii="Calibri" w:hAnsi="Calibri"/>
                <w:b w:val="0"/>
                <w:i w:val="0"/>
                <w:color w:val="000000"/>
                <w:sz w:val="18"/>
              </w:rPr>
              <w:t>/auth/whoami, /node/find</w:t>
            </w:r>
          </w:p>
        </w:tc>
      </w:tr>
      <w:tr>
        <w:tc>
          <w:tcPr>
            <w:tcW w:type="dxa" w:w="3324"/>
            <w:vAlign w:val="top"/>
          </w:tcPr>
          <w:p>
            <w:r/>
            <w:r>
              <w:rPr>
                <w:rFonts w:ascii="Calibri" w:hAnsi="Calibri"/>
                <w:b w:val="0"/>
                <w:i w:val="0"/>
                <w:color w:val="000000"/>
                <w:sz w:val="18"/>
              </w:rPr>
              <w:t>2</w:t>
            </w:r>
          </w:p>
        </w:tc>
        <w:tc>
          <w:tcPr>
            <w:tcW w:type="dxa" w:w="3324"/>
            <w:vAlign w:val="top"/>
          </w:tcPr>
          <w:p>
            <w:r/>
            <w:r>
              <w:rPr>
                <w:rFonts w:ascii="Calibri" w:hAnsi="Calibri"/>
                <w:b w:val="0"/>
                <w:i w:val="0"/>
                <w:color w:val="000000"/>
                <w:sz w:val="18"/>
              </w:rPr>
              <w:t>fetch_by_label</w:t>
            </w:r>
          </w:p>
        </w:tc>
        <w:tc>
          <w:tcPr>
            <w:tcW w:type="dxa" w:w="3324"/>
            <w:vAlign w:val="top"/>
          </w:tcPr>
          <w:p>
            <w:r/>
            <w:r>
              <w:rPr>
                <w:rFonts w:ascii="Calibri" w:hAnsi="Calibri"/>
                <w:b w:val="0"/>
                <w:i w:val="0"/>
                <w:color w:val="000000"/>
                <w:sz w:val="18"/>
              </w:rPr>
              <w:t>/labels/{label}</w:t>
            </w:r>
          </w:p>
        </w:tc>
      </w:tr>
      <w:tr>
        <w:tc>
          <w:tcPr>
            <w:tcW w:type="dxa" w:w="3324"/>
            <w:vAlign w:val="top"/>
          </w:tcPr>
          <w:p>
            <w:r/>
            <w:r>
              <w:rPr>
                <w:rFonts w:ascii="Calibri" w:hAnsi="Calibri"/>
                <w:b w:val="0"/>
                <w:i w:val="0"/>
                <w:color w:val="000000"/>
                <w:sz w:val="18"/>
              </w:rPr>
              <w:t>3</w:t>
            </w:r>
          </w:p>
        </w:tc>
        <w:tc>
          <w:tcPr>
            <w:tcW w:type="dxa" w:w="3324"/>
            <w:vAlign w:val="top"/>
          </w:tcPr>
          <w:p>
            <w:r/>
            <w:r>
              <w:rPr>
                <w:rFonts w:ascii="Calibri" w:hAnsi="Calibri"/>
                <w:b w:val="0"/>
                <w:i w:val="0"/>
                <w:color w:val="000000"/>
                <w:sz w:val="18"/>
              </w:rPr>
              <w:t>fetch_similar</w:t>
            </w:r>
          </w:p>
        </w:tc>
        <w:tc>
          <w:tcPr>
            <w:tcW w:type="dxa" w:w="3324"/>
            <w:vAlign w:val="top"/>
          </w:tcPr>
          <w:p>
            <w:r/>
            <w:r>
              <w:rPr>
                <w:rFonts w:ascii="Calibri" w:hAnsi="Calibri"/>
                <w:b w:val="0"/>
                <w:i w:val="0"/>
                <w:color w:val="000000"/>
                <w:sz w:val="18"/>
              </w:rPr>
              <w:t>/similarity/{label}</w:t>
            </w:r>
          </w:p>
        </w:tc>
      </w:tr>
      <w:tr>
        <w:tc>
          <w:tcPr>
            <w:tcW w:type="dxa" w:w="3324"/>
            <w:vAlign w:val="top"/>
          </w:tcPr>
          <w:p>
            <w:r/>
            <w:r>
              <w:rPr>
                <w:rFonts w:ascii="Calibri" w:hAnsi="Calibri"/>
                <w:b w:val="0"/>
                <w:i w:val="0"/>
                <w:color w:val="000000"/>
                <w:sz w:val="18"/>
              </w:rPr>
              <w:t>4</w:t>
            </w:r>
          </w:p>
        </w:tc>
        <w:tc>
          <w:tcPr>
            <w:tcW w:type="dxa" w:w="3324"/>
            <w:vAlign w:val="top"/>
          </w:tcPr>
          <w:p>
            <w:r/>
            <w:r>
              <w:rPr>
                <w:rFonts w:ascii="Calibri" w:hAnsi="Calibri"/>
                <w:b w:val="0"/>
                <w:i w:val="0"/>
                <w:color w:val="000000"/>
                <w:sz w:val="18"/>
              </w:rPr>
              <w:t>lookup_node_by_value</w:t>
            </w:r>
          </w:p>
        </w:tc>
        <w:tc>
          <w:tcPr>
            <w:tcW w:type="dxa" w:w="3324"/>
            <w:vAlign w:val="top"/>
          </w:tcPr>
          <w:p>
            <w:r/>
            <w:r>
              <w:rPr>
                <w:rFonts w:ascii="Calibri" w:hAnsi="Calibri"/>
                <w:b w:val="0"/>
                <w:i w:val="0"/>
                <w:color w:val="000000"/>
                <w:sz w:val="18"/>
              </w:rPr>
              <w:t>/node/find/{value}</w:t>
            </w:r>
          </w:p>
        </w:tc>
      </w:tr>
      <w:tr>
        <w:tc>
          <w:tcPr>
            <w:tcW w:type="dxa" w:w="3324"/>
            <w:vAlign w:val="top"/>
          </w:tcPr>
          <w:p>
            <w:r/>
            <w:r>
              <w:rPr>
                <w:rFonts w:ascii="Calibri" w:hAnsi="Calibri"/>
                <w:b w:val="0"/>
                <w:i w:val="0"/>
                <w:color w:val="000000"/>
                <w:sz w:val="18"/>
              </w:rPr>
              <w:t>5</w:t>
            </w:r>
          </w:p>
        </w:tc>
        <w:tc>
          <w:tcPr>
            <w:tcW w:type="dxa" w:w="3324"/>
            <w:vAlign w:val="top"/>
          </w:tcPr>
          <w:p>
            <w:r/>
            <w:r>
              <w:rPr>
                <w:rFonts w:ascii="Calibri" w:hAnsi="Calibri"/>
                <w:b w:val="0"/>
                <w:i w:val="0"/>
                <w:color w:val="000000"/>
                <w:sz w:val="18"/>
              </w:rPr>
              <w:t>fetch_node_details</w:t>
            </w:r>
          </w:p>
        </w:tc>
        <w:tc>
          <w:tcPr>
            <w:tcW w:type="dxa" w:w="3324"/>
            <w:vAlign w:val="top"/>
          </w:tcPr>
          <w:p>
            <w:r/>
            <w:r>
              <w:rPr>
                <w:rFonts w:ascii="Calibri" w:hAnsi="Calibri"/>
                <w:b w:val="0"/>
                <w:i w:val="0"/>
                <w:color w:val="000000"/>
                <w:sz w:val="18"/>
              </w:rPr>
              <w:t>/node/details (POST)</w:t>
            </w:r>
          </w:p>
        </w:tc>
      </w:tr>
      <w:tr>
        <w:tc>
          <w:tcPr>
            <w:tcW w:type="dxa" w:w="3324"/>
            <w:vAlign w:val="top"/>
          </w:tcPr>
          <w:p>
            <w:r/>
            <w:r>
              <w:rPr>
                <w:rFonts w:ascii="Calibri" w:hAnsi="Calibri"/>
                <w:b w:val="0"/>
                <w:i w:val="0"/>
                <w:color w:val="000000"/>
                <w:sz w:val="18"/>
              </w:rPr>
              <w:t>6</w:t>
            </w:r>
          </w:p>
        </w:tc>
        <w:tc>
          <w:tcPr>
            <w:tcW w:type="dxa" w:w="3324"/>
            <w:vAlign w:val="top"/>
          </w:tcPr>
          <w:p>
            <w:r/>
            <w:r>
              <w:rPr>
                <w:rFonts w:ascii="Calibri" w:hAnsi="Calibri"/>
                <w:b w:val="0"/>
                <w:i w:val="0"/>
                <w:color w:val="000000"/>
                <w:sz w:val="18"/>
              </w:rPr>
              <w:t>fetch_drug_aliases</w:t>
            </w:r>
          </w:p>
        </w:tc>
        <w:tc>
          <w:tcPr>
            <w:tcW w:type="dxa" w:w="3324"/>
            <w:vAlign w:val="top"/>
          </w:tcPr>
          <w:p>
            <w:r/>
            <w:r>
              <w:rPr>
                <w:rFonts w:ascii="Calibri" w:hAnsi="Calibri"/>
                <w:b w:val="0"/>
                <w:i w:val="0"/>
                <w:color w:val="000000"/>
                <w:sz w:val="18"/>
              </w:rPr>
              <w:t>/drugs/aliases/{name}</w:t>
            </w:r>
          </w:p>
        </w:tc>
      </w:tr>
      <w:tr>
        <w:tc>
          <w:tcPr>
            <w:tcW w:type="dxa" w:w="3324"/>
            <w:vAlign w:val="top"/>
          </w:tcPr>
          <w:p>
            <w:r/>
            <w:r>
              <w:rPr>
                <w:rFonts w:ascii="Calibri" w:hAnsi="Calibri"/>
                <w:b w:val="0"/>
                <w:i w:val="0"/>
                <w:color w:val="000000"/>
                <w:sz w:val="18"/>
              </w:rPr>
              <w:t>7</w:t>
            </w:r>
          </w:p>
        </w:tc>
        <w:tc>
          <w:tcPr>
            <w:tcW w:type="dxa" w:w="3324"/>
            <w:vAlign w:val="top"/>
          </w:tcPr>
          <w:p>
            <w:r/>
            <w:r>
              <w:rPr>
                <w:rFonts w:ascii="Calibri" w:hAnsi="Calibri"/>
                <w:b w:val="0"/>
                <w:i w:val="0"/>
                <w:color w:val="000000"/>
                <w:sz w:val="18"/>
              </w:rPr>
              <w:t>fetch_facts</w:t>
            </w:r>
          </w:p>
        </w:tc>
        <w:tc>
          <w:tcPr>
            <w:tcW w:type="dxa" w:w="3324"/>
            <w:vAlign w:val="top"/>
          </w:tcPr>
          <w:p>
            <w:r/>
            <w:r>
              <w:rPr>
                <w:rFonts w:ascii="Calibri" w:hAnsi="Calibri"/>
                <w:b w:val="0"/>
                <w:i w:val="0"/>
                <w:color w:val="000000"/>
                <w:sz w:val="18"/>
              </w:rPr>
              <w:t>/graph/facts/start/{id}</w:t>
            </w:r>
          </w:p>
        </w:tc>
      </w:tr>
      <w:tr>
        <w:tc>
          <w:tcPr>
            <w:tcW w:type="dxa" w:w="3324"/>
            <w:vAlign w:val="top"/>
          </w:tcPr>
          <w:p>
            <w:r/>
            <w:r>
              <w:rPr>
                <w:rFonts w:ascii="Calibri" w:hAnsi="Calibri"/>
                <w:b w:val="0"/>
                <w:i w:val="0"/>
                <w:color w:val="000000"/>
                <w:sz w:val="18"/>
              </w:rPr>
              <w:t>8</w:t>
            </w:r>
          </w:p>
        </w:tc>
        <w:tc>
          <w:tcPr>
            <w:tcW w:type="dxa" w:w="3324"/>
            <w:vAlign w:val="top"/>
          </w:tcPr>
          <w:p>
            <w:r/>
            <w:r>
              <w:rPr>
                <w:rFonts w:ascii="Calibri" w:hAnsi="Calibri"/>
                <w:b w:val="0"/>
                <w:i w:val="0"/>
                <w:color w:val="000000"/>
                <w:sz w:val="18"/>
              </w:rPr>
              <w:t>fetch_node_relationships</w:t>
            </w:r>
          </w:p>
        </w:tc>
        <w:tc>
          <w:tcPr>
            <w:tcW w:type="dxa" w:w="3324"/>
            <w:vAlign w:val="top"/>
          </w:tcPr>
          <w:p>
            <w:r/>
            <w:r>
              <w:rPr>
                <w:rFonts w:ascii="Calibri" w:hAnsi="Calibri"/>
                <w:b w:val="0"/>
                <w:i w:val="0"/>
                <w:color w:val="000000"/>
                <w:sz w:val="18"/>
              </w:rPr>
              <w:t>/graph/relationship/start/{id}</w:t>
            </w:r>
          </w:p>
        </w:tc>
      </w:tr>
      <w:tr>
        <w:tc>
          <w:tcPr>
            <w:tcW w:type="dxa" w:w="3324"/>
            <w:vAlign w:val="top"/>
          </w:tcPr>
          <w:p>
            <w:r/>
            <w:r>
              <w:rPr>
                <w:rFonts w:ascii="Calibri" w:hAnsi="Calibri"/>
                <w:b w:val="0"/>
                <w:i w:val="0"/>
                <w:color w:val="000000"/>
                <w:sz w:val="18"/>
              </w:rPr>
              <w:t>9</w:t>
            </w:r>
          </w:p>
        </w:tc>
        <w:tc>
          <w:tcPr>
            <w:tcW w:type="dxa" w:w="3324"/>
            <w:vAlign w:val="top"/>
          </w:tcPr>
          <w:p>
            <w:r/>
            <w:r>
              <w:rPr>
                <w:rFonts w:ascii="Calibri" w:hAnsi="Calibri"/>
                <w:b w:val="0"/>
                <w:i w:val="0"/>
                <w:color w:val="000000"/>
                <w:sz w:val="18"/>
              </w:rPr>
              <w:t>fetch_paths</w:t>
            </w:r>
          </w:p>
        </w:tc>
        <w:tc>
          <w:tcPr>
            <w:tcW w:type="dxa" w:w="3324"/>
            <w:vAlign w:val="top"/>
          </w:tcPr>
          <w:p>
            <w:r/>
            <w:r>
              <w:rPr>
                <w:rFonts w:ascii="Calibri" w:hAnsi="Calibri"/>
                <w:b w:val="0"/>
                <w:i w:val="0"/>
                <w:color w:val="000000"/>
                <w:sz w:val="18"/>
              </w:rPr>
              <w:t>/graph/path/start/{id}/end/{id}</w:t>
            </w:r>
          </w:p>
        </w:tc>
      </w:tr>
      <w:tr>
        <w:tc>
          <w:tcPr>
            <w:tcW w:type="dxa" w:w="3324"/>
            <w:vAlign w:val="top"/>
          </w:tcPr>
          <w:p>
            <w:r/>
            <w:r>
              <w:rPr>
                <w:rFonts w:ascii="Calibri" w:hAnsi="Calibri"/>
                <w:b w:val="0"/>
                <w:i w:val="0"/>
                <w:color w:val="000000"/>
                <w:sz w:val="18"/>
              </w:rPr>
              <w:t>10</w:t>
            </w:r>
          </w:p>
        </w:tc>
        <w:tc>
          <w:tcPr>
            <w:tcW w:type="dxa" w:w="3324"/>
            <w:vAlign w:val="top"/>
          </w:tcPr>
          <w:p>
            <w:r/>
            <w:r>
              <w:rPr>
                <w:rFonts w:ascii="Calibri" w:hAnsi="Calibri"/>
                <w:b w:val="0"/>
                <w:i w:val="0"/>
                <w:color w:val="000000"/>
                <w:sz w:val="18"/>
              </w:rPr>
              <w:t>has_reachable_path</w:t>
            </w:r>
          </w:p>
        </w:tc>
        <w:tc>
          <w:tcPr>
            <w:tcW w:type="dxa" w:w="3324"/>
            <w:vAlign w:val="top"/>
          </w:tcPr>
          <w:p>
            <w:r/>
            <w:r>
              <w:rPr>
                <w:rFonts w:ascii="Calibri" w:hAnsi="Calibri"/>
                <w:b w:val="0"/>
                <w:i w:val="0"/>
                <w:color w:val="000000"/>
                <w:sz w:val="18"/>
              </w:rPr>
              <w:t>/graph/reachability/...</w:t>
            </w:r>
          </w:p>
        </w:tc>
      </w:tr>
      <w:tr>
        <w:tc>
          <w:tcPr>
            <w:tcW w:type="dxa" w:w="3324"/>
            <w:vAlign w:val="top"/>
          </w:tcPr>
          <w:p>
            <w:r/>
            <w:r>
              <w:rPr>
                <w:rFonts w:ascii="Calibri" w:hAnsi="Calibri"/>
                <w:b w:val="0"/>
                <w:i w:val="0"/>
                <w:color w:val="000000"/>
                <w:sz w:val="18"/>
              </w:rPr>
              <w:t>11</w:t>
            </w:r>
          </w:p>
        </w:tc>
        <w:tc>
          <w:tcPr>
            <w:tcW w:type="dxa" w:w="3324"/>
            <w:vAlign w:val="top"/>
          </w:tcPr>
          <w:p>
            <w:r/>
            <w:r>
              <w:rPr>
                <w:rFonts w:ascii="Calibri" w:hAnsi="Calibri"/>
                <w:b w:val="0"/>
                <w:i w:val="0"/>
                <w:color w:val="000000"/>
                <w:sz w:val="18"/>
              </w:rPr>
              <w:t>find_organization_names</w:t>
            </w:r>
          </w:p>
        </w:tc>
        <w:tc>
          <w:tcPr>
            <w:tcW w:type="dxa" w:w="3324"/>
            <w:vAlign w:val="top"/>
          </w:tcPr>
          <w:p>
            <w:r/>
            <w:r>
              <w:rPr>
                <w:rFonts w:ascii="Calibri" w:hAnsi="Calibri"/>
                <w:b w:val="0"/>
                <w:i w:val="0"/>
                <w:color w:val="000000"/>
                <w:sz w:val="18"/>
              </w:rPr>
              <w:t>/organizations/{pattern}</w:t>
            </w:r>
          </w:p>
        </w:tc>
      </w:tr>
      <w:tr>
        <w:tc>
          <w:tcPr>
            <w:tcW w:type="dxa" w:w="3324"/>
            <w:vAlign w:val="top"/>
          </w:tcPr>
          <w:p>
            <w:r/>
            <w:r>
              <w:rPr>
                <w:rFonts w:ascii="Calibri" w:hAnsi="Calibri"/>
                <w:b w:val="0"/>
                <w:i w:val="0"/>
                <w:color w:val="000000"/>
                <w:sz w:val="18"/>
              </w:rPr>
              <w:t>12</w:t>
            </w:r>
          </w:p>
        </w:tc>
        <w:tc>
          <w:tcPr>
            <w:tcW w:type="dxa" w:w="3324"/>
            <w:vAlign w:val="top"/>
          </w:tcPr>
          <w:p>
            <w:r/>
            <w:r>
              <w:rPr>
                <w:rFonts w:ascii="Calibri" w:hAnsi="Calibri"/>
                <w:b w:val="0"/>
                <w:i w:val="0"/>
                <w:color w:val="000000"/>
                <w:sz w:val="18"/>
              </w:rPr>
              <w:t>find_organization_assets</w:t>
            </w:r>
          </w:p>
        </w:tc>
        <w:tc>
          <w:tcPr>
            <w:tcW w:type="dxa" w:w="3324"/>
            <w:vAlign w:val="top"/>
          </w:tcPr>
          <w:p>
            <w:r/>
            <w:r>
              <w:rPr>
                <w:rFonts w:ascii="Calibri" w:hAnsi="Calibri"/>
                <w:b w:val="0"/>
                <w:i w:val="0"/>
                <w:color w:val="000000"/>
                <w:sz w:val="18"/>
              </w:rPr>
              <w:t>/organizations/assets/{id}</w:t>
            </w:r>
          </w:p>
        </w:tc>
      </w:tr>
    </w:tbl>
    <w:p/>
    <w:p>
      <w:pPr>
        <w:spacing w:before="280" w:after="160"/>
        <w:outlineLvl w:val="1"/>
      </w:pPr>
      <w:r>
        <w:rPr>
          <w:rFonts w:ascii="Calibri" w:hAnsi="Calibri"/>
          <w:b/>
          <w:i w:val="0"/>
          <w:color w:val="1B3A6B"/>
          <w:sz w:val="34"/>
        </w:rPr>
        <w:t>Appendix D — Source Documents Consulted</w:t>
      </w:r>
    </w:p>
    <w:p>
      <w:pPr>
        <w:pStyle w:val="ListBullet"/>
        <w:spacing w:after="40"/>
      </w:pPr>
      <w:r>
        <w:rPr>
          <w:rFonts w:ascii="Calibri" w:hAnsi="Calibri"/>
          <w:b w:val="0"/>
          <w:i w:val="0"/>
          <w:sz w:val="21"/>
        </w:rPr>
        <w:t>EUGENE_PROJECT_VALIDATION_DOCUMENT.md (v1.0, 30 March 2026).</w:t>
      </w:r>
    </w:p>
    <w:p>
      <w:pPr>
        <w:pStyle w:val="ListBullet"/>
        <w:spacing w:after="40"/>
      </w:pPr>
      <w:r>
        <w:rPr>
          <w:rFonts w:ascii="Calibri" w:hAnsi="Calibri"/>
          <w:b w:val="0"/>
          <w:i w:val="0"/>
          <w:sz w:val="21"/>
        </w:rPr>
        <w:t>EUGENE_STAGE1_ASSESSMENT_REPORT.pdf (April 2026); content extracted via generate_stage1_report.py source.</w:t>
      </w:r>
    </w:p>
    <w:p>
      <w:pPr>
        <w:pStyle w:val="ListBullet"/>
        <w:spacing w:after="40"/>
      </w:pPr>
      <w:r>
        <w:rPr>
          <w:rFonts w:ascii="Calibri" w:hAnsi="Calibri"/>
          <w:b w:val="0"/>
          <w:i w:val="0"/>
          <w:sz w:val="21"/>
        </w:rPr>
        <w:t>DEVELOPER_GUIDE.md (current as of April 2026).</w:t>
      </w:r>
    </w:p>
    <w:p>
      <w:pPr>
        <w:pStyle w:val="ListBullet"/>
        <w:spacing w:after="40"/>
      </w:pPr>
      <w:r>
        <w:rPr>
          <w:rFonts w:ascii="Calibri" w:hAnsi="Calibri"/>
          <w:b w:val="0"/>
          <w:i w:val="0"/>
          <w:sz w:val="21"/>
        </w:rPr>
        <w:t>docs/architecture/eugene-architecture.drawio (canonical architecture diagram).</w:t>
      </w:r>
    </w:p>
    <w:p>
      <w:pPr>
        <w:pStyle w:val="ListBullet"/>
        <w:spacing w:after="40"/>
      </w:pPr>
      <w:r>
        <w:rPr>
          <w:rFonts w:ascii="Calibri" w:hAnsi="Calibri"/>
          <w:b w:val="0"/>
          <w:i w:val="0"/>
          <w:sz w:val="21"/>
        </w:rPr>
        <w:t>EUGENE_COMPLETE_DOCUMENTATION.md and EUGENE_COMPLETE_VALIDATION_DOCUMENT.md.</w:t>
      </w:r>
    </w:p>
    <w:p>
      <w:pPr>
        <w:pStyle w:val="ListBullet"/>
        <w:spacing w:after="40"/>
      </w:pPr>
      <w:r>
        <w:rPr>
          <w:rFonts w:ascii="Calibri" w:hAnsi="Calibri"/>
          <w:b w:val="0"/>
          <w:i w:val="0"/>
          <w:sz w:val="21"/>
        </w:rPr>
        <w:t>ROUTE_DEEP_DIVE.md, oauth.md, entra_id.md, dns.md, maintenance.md, csl_aws.md, terraform.md, docker.md, local_dev_setup.md.</w:t>
      </w:r>
    </w:p>
    <w:sectPr w:rsidR="00FC693F" w:rsidRPr="0006063C" w:rsidSect="00034616">
      <w:headerReference w:type="default" r:id="rId9"/>
      <w:footerReference w:type="default" r:id="rId10"/>
      <w:pgSz w:w="12240" w:h="15840"/>
      <w:pgMar w:top="1361"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b w:val="0"/>
        <w:i/>
        <w:color w:val="424242"/>
        <w:sz w:val="16"/>
      </w:rPr>
      <w:t>Confidential — CSL Behring Internal Use Only   •   Generated May 2,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2835"/>
      <w:gridCol w:w="6803"/>
    </w:tblGrid>
    <w:tr>
      <w:tc>
        <w:tcPr>
          <w:tcW w:type="dxa" w:w="4819"/>
        </w:tcPr>
        <w:p>
          <w:r>
            <w:drawing>
              <wp:inline xmlns:a="http://schemas.openxmlformats.org/drawingml/2006/main" xmlns:pic="http://schemas.openxmlformats.org/drawingml/2006/picture">
                <wp:extent cx="1224000" cy="383762"/>
                <wp:docPr id="1" name="Picture 1"/>
                <wp:cNvGraphicFramePr>
                  <a:graphicFrameLocks noChangeAspect="1"/>
                </wp:cNvGraphicFramePr>
                <a:graphic>
                  <a:graphicData uri="http://schemas.openxmlformats.org/drawingml/2006/picture">
                    <pic:pic>
                      <pic:nvPicPr>
                        <pic:cNvPr id="0" name="image.png"/>
                        <pic:cNvPicPr/>
                      </pic:nvPicPr>
                      <pic:blipFill>
                        <a:blip r:embed="rId1"/>
                        <a:stretch>
                          <a:fillRect/>
                        </a:stretch>
                      </pic:blipFill>
                      <pic:spPr>
                        <a:xfrm>
                          <a:off x="0" y="0"/>
                          <a:ext cx="1224000" cy="383762"/>
                        </a:xfrm>
                        <a:prstGeom prst="rect"/>
                      </pic:spPr>
                    </pic:pic>
                  </a:graphicData>
                </a:graphic>
              </wp:inline>
            </w:drawing>
          </w:r>
        </w:p>
      </w:tc>
      <w:tc>
        <w:tcPr>
          <w:tcW w:type="dxa" w:w="4819"/>
        </w:tcPr>
        <w:p>
          <w:pPr>
            <w:jc w:val="right"/>
          </w:pPr>
          <w:r>
            <w:rPr>
              <w:rFonts w:ascii="Calibri" w:hAnsi="Calibri"/>
              <w:b/>
              <w:i w:val="0"/>
              <w:color w:val="A6192E"/>
              <w:sz w:val="16"/>
            </w:rPr>
            <w:t>CSL BEHRING  |  EUGENE PLATFORM</w:t>
          </w:r>
          <w:r>
            <w:br/>
          </w:r>
          <w:r>
            <w:rPr>
              <w:rFonts w:ascii="Calibri" w:hAnsi="Calibri"/>
              <w:b w:val="0"/>
              <w:i w:val="0"/>
              <w:color w:val="1B3A6B"/>
              <w:sz w:val="16"/>
            </w:rPr>
            <w:t>Eugene Platform — Project Evaluation</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